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3E691"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Firmato:</w:t>
      </w:r>
    </w:p>
    <w:p w14:paraId="10312F68"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 xml:space="preserve">Ottavio Davini, Enrico Alleva, Luca De Fiore, Paola Di Giulio, Nerina </w:t>
      </w:r>
      <w:proofErr w:type="spellStart"/>
      <w:r w:rsidRPr="006A3C96">
        <w:rPr>
          <w:rFonts w:ascii="Source Sans Pro" w:eastAsia="Times New Roman" w:hAnsi="Source Sans Pro" w:cs="Times New Roman"/>
          <w:color w:val="000000"/>
          <w:kern w:val="0"/>
          <w:sz w:val="29"/>
          <w:szCs w:val="29"/>
          <w:lang w:eastAsia="it-IT"/>
          <w14:ligatures w14:val="none"/>
        </w:rPr>
        <w:t>Dirindin</w:t>
      </w:r>
      <w:proofErr w:type="spellEnd"/>
      <w:r w:rsidRPr="006A3C96">
        <w:rPr>
          <w:rFonts w:ascii="Source Sans Pro" w:eastAsia="Times New Roman" w:hAnsi="Source Sans Pro" w:cs="Times New Roman"/>
          <w:color w:val="000000"/>
          <w:kern w:val="0"/>
          <w:sz w:val="29"/>
          <w:szCs w:val="29"/>
          <w:lang w:eastAsia="it-IT"/>
          <w14:ligatures w14:val="none"/>
        </w:rPr>
        <w:t xml:space="preserve">, Silvio Garattini, Franco Locatelli, Francesco Longo, Lucio Luzzatto, Alberto Mantovani, Giorgio Parisi, Carlo Patrono, Francesco Perrone, Paolo </w:t>
      </w:r>
      <w:proofErr w:type="spellStart"/>
      <w:r w:rsidRPr="006A3C96">
        <w:rPr>
          <w:rFonts w:ascii="Source Sans Pro" w:eastAsia="Times New Roman" w:hAnsi="Source Sans Pro" w:cs="Times New Roman"/>
          <w:color w:val="000000"/>
          <w:kern w:val="0"/>
          <w:sz w:val="29"/>
          <w:szCs w:val="29"/>
          <w:lang w:eastAsia="it-IT"/>
          <w14:ligatures w14:val="none"/>
        </w:rPr>
        <w:t>Vineis</w:t>
      </w:r>
      <w:proofErr w:type="spellEnd"/>
    </w:p>
    <w:p w14:paraId="49F45D61"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 </w:t>
      </w:r>
    </w:p>
    <w:p w14:paraId="3EAF3FB5" w14:textId="77777777" w:rsidR="006A3C96" w:rsidRPr="006A3C96" w:rsidRDefault="006A3C96" w:rsidP="006A3C96">
      <w:pPr>
        <w:shd w:val="clear" w:color="auto" w:fill="FEFEFE"/>
        <w:spacing w:before="315" w:after="158" w:line="240" w:lineRule="auto"/>
        <w:outlineLvl w:val="0"/>
        <w:rPr>
          <w:rFonts w:ascii="Source Sans Pro" w:eastAsia="Times New Roman" w:hAnsi="Source Sans Pro" w:cs="Times New Roman"/>
          <w:color w:val="000000"/>
          <w:kern w:val="36"/>
          <w:sz w:val="68"/>
          <w:szCs w:val="68"/>
          <w:lang w:eastAsia="it-IT"/>
          <w14:ligatures w14:val="none"/>
        </w:rPr>
      </w:pPr>
      <w:r w:rsidRPr="006A3C96">
        <w:rPr>
          <w:rFonts w:ascii="Source Sans Pro" w:eastAsia="Times New Roman" w:hAnsi="Source Sans Pro" w:cs="Times New Roman"/>
          <w:color w:val="000000"/>
          <w:kern w:val="36"/>
          <w:sz w:val="68"/>
          <w:szCs w:val="68"/>
          <w:lang w:eastAsia="it-IT"/>
          <w14:ligatures w14:val="none"/>
        </w:rPr>
        <w:t>Non possiamo fare a meno del servizio sanitario pubblico</w:t>
      </w:r>
    </w:p>
    <w:p w14:paraId="642BEB0D"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In Italia una delle più grandi conquiste della Repubblica è il Servizio Sanitario Nazionale (SSN), che ha contribuito significativamente a migliorare prospettiva e qualità di vita e a ridurre le disuguaglianze socioeconomiche.</w:t>
      </w:r>
    </w:p>
    <w:p w14:paraId="03E54BEF"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Negli ultimi decenni, in un contesto di marcato miglioramento delle condizioni generali di salute della popolazione mondiale, l’Italia si caratterizza per il maggior incremento - tra i Paesi ad alto reddito - dell’aspettativa di vita, passata da 73,8 a 83,6 anni tra il 1978 (che è l’anno di creazione dell'SSN) e il 2019</w:t>
      </w:r>
      <w:r w:rsidRPr="006A3C96">
        <w:rPr>
          <w:rFonts w:ascii="Source Sans Pro" w:eastAsia="Times New Roman" w:hAnsi="Source Sans Pro" w:cs="Times New Roman"/>
          <w:color w:val="000000"/>
          <w:kern w:val="0"/>
          <w:sz w:val="20"/>
          <w:szCs w:val="20"/>
          <w:vertAlign w:val="superscript"/>
          <w:lang w:eastAsia="it-IT"/>
          <w14:ligatures w14:val="none"/>
        </w:rPr>
        <w:t>1</w:t>
      </w:r>
      <w:r w:rsidRPr="006A3C96">
        <w:rPr>
          <w:rFonts w:ascii="Source Sans Pro" w:eastAsia="Times New Roman" w:hAnsi="Source Sans Pro" w:cs="Times New Roman"/>
          <w:color w:val="000000"/>
          <w:kern w:val="0"/>
          <w:sz w:val="29"/>
          <w:szCs w:val="29"/>
          <w:lang w:eastAsia="it-IT"/>
          <w14:ligatures w14:val="none"/>
        </w:rPr>
        <w:t>. Ma se segnali preoccupanti si percepivano già prima del 2019, dopo la pandemia molti dati dimostrano che </w:t>
      </w:r>
      <w:r w:rsidRPr="006A3C96">
        <w:rPr>
          <w:rFonts w:ascii="Source Sans Pro" w:eastAsia="Times New Roman" w:hAnsi="Source Sans Pro" w:cs="Times New Roman"/>
          <w:b/>
          <w:bCs/>
          <w:color w:val="000000"/>
          <w:kern w:val="0"/>
          <w:sz w:val="29"/>
          <w:szCs w:val="29"/>
          <w:lang w:eastAsia="it-IT"/>
          <w14:ligatures w14:val="none"/>
        </w:rPr>
        <w:t>il sistema presenta inequivocabili segni di crisi</w:t>
      </w:r>
      <w:r w:rsidRPr="006A3C96">
        <w:rPr>
          <w:rFonts w:ascii="Source Sans Pro" w:eastAsia="Times New Roman" w:hAnsi="Source Sans Pro" w:cs="Times New Roman"/>
          <w:color w:val="000000"/>
          <w:kern w:val="0"/>
          <w:sz w:val="29"/>
          <w:szCs w:val="29"/>
          <w:lang w:eastAsia="it-IT"/>
          <w14:ligatures w14:val="none"/>
        </w:rPr>
        <w:t>: frenata o arretramento di alcuni indicatori di salute, difficoltà crescente - e talora insostenibile - di accesso ai percorsi di diagnosi e cura, aumento delle diseguaglianze regionali e sociali, per citare solo i problemi più importanti.</w:t>
      </w:r>
    </w:p>
    <w:p w14:paraId="0E9ECD1E"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Quali sono le cause principali? L’inarrestabile evoluzione tecnologica, con il conseguente incremento dei costi, l’invecchiamento della popolazione e il mutamento degli scenari delle malattie, congiuntamente all’inflazione e alle difficoltà della finanza pubblica, hanno reso fortemente sottofinanziato l'SSN, al quale nel 2025 sarà destinato circa il 6,2% del PIL</w:t>
      </w:r>
      <w:r w:rsidRPr="006A3C96">
        <w:rPr>
          <w:rFonts w:ascii="Source Sans Pro" w:eastAsia="Times New Roman" w:hAnsi="Source Sans Pro" w:cs="Times New Roman"/>
          <w:color w:val="000000"/>
          <w:kern w:val="0"/>
          <w:sz w:val="20"/>
          <w:szCs w:val="20"/>
          <w:vertAlign w:val="superscript"/>
          <w:lang w:eastAsia="it-IT"/>
          <w14:ligatures w14:val="none"/>
        </w:rPr>
        <w:t>2</w:t>
      </w:r>
      <w:r w:rsidRPr="006A3C96">
        <w:rPr>
          <w:rFonts w:ascii="Source Sans Pro" w:eastAsia="Times New Roman" w:hAnsi="Source Sans Pro" w:cs="Times New Roman"/>
          <w:color w:val="000000"/>
          <w:kern w:val="0"/>
          <w:sz w:val="29"/>
          <w:szCs w:val="29"/>
          <w:lang w:eastAsia="it-IT"/>
          <w14:ligatures w14:val="none"/>
        </w:rPr>
        <w:t>, meno di quanto (6,5%) accadeva 20 anni fa. Oltre al divario tra costi crescenti e finanziamento decrescente e a un carico di inefficienza e inappropriatezza, manca un vero dibattito sul nesso tra sostenibilità e diritto alla salute. </w:t>
      </w:r>
    </w:p>
    <w:p w14:paraId="7D2FC1B3"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1. Possiamo fare a meno dell'SSN?</w:t>
      </w:r>
    </w:p>
    <w:p w14:paraId="2C26ED02"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lastRenderedPageBreak/>
        <w:t>I Servizi sanitari universalistici come quello italiano sono stati colpiti duramente dalla crisi economica del 2009, e in alcuni casi (Grecia, Spagna, Portogallo) hanno ridimensionato grandemente il ruolo del pubblico a favore del privato (con una conseguente crescita della spesa sanitaria direttamente a carico dei cittadini)</w:t>
      </w:r>
      <w:r w:rsidRPr="006A3C96">
        <w:rPr>
          <w:rFonts w:ascii="Source Sans Pro" w:eastAsia="Times New Roman" w:hAnsi="Source Sans Pro" w:cs="Times New Roman"/>
          <w:color w:val="000000"/>
          <w:kern w:val="0"/>
          <w:sz w:val="21"/>
          <w:szCs w:val="21"/>
          <w:vertAlign w:val="superscript"/>
          <w:lang w:eastAsia="it-IT"/>
          <w14:ligatures w14:val="none"/>
        </w:rPr>
        <w:t>3</w:t>
      </w:r>
      <w:r w:rsidRPr="006A3C96">
        <w:rPr>
          <w:rFonts w:ascii="Source Sans Pro" w:eastAsia="Times New Roman" w:hAnsi="Source Sans Pro" w:cs="Times New Roman"/>
          <w:color w:val="000000"/>
          <w:kern w:val="0"/>
          <w:sz w:val="29"/>
          <w:szCs w:val="29"/>
          <w:lang w:eastAsia="it-IT"/>
          <w14:ligatures w14:val="none"/>
        </w:rPr>
        <w:t>. Dal sistema pubblico viene ancora garantita a tutti una quota di attività (urgenza, ricoveri per acuzie), mentre per un’altra parte dell’assistenza (visite specialistiche, accertamenti diagnostici, piccola chirurgia) la popolazione è costretta a rinviare gli interventi o indotta a ricorrere al privato e alle assicurazioni. Progredire su questa china, oltre a essere contrario al dettato costituzionale (Art. 32)</w:t>
      </w:r>
      <w:r w:rsidRPr="006A3C96">
        <w:rPr>
          <w:rFonts w:ascii="Source Sans Pro" w:eastAsia="Times New Roman" w:hAnsi="Source Sans Pro" w:cs="Times New Roman"/>
          <w:color w:val="000000"/>
          <w:kern w:val="0"/>
          <w:sz w:val="21"/>
          <w:szCs w:val="21"/>
          <w:vertAlign w:val="superscript"/>
          <w:lang w:eastAsia="it-IT"/>
          <w14:ligatures w14:val="none"/>
        </w:rPr>
        <w:t>4</w:t>
      </w:r>
      <w:r w:rsidRPr="006A3C96">
        <w:rPr>
          <w:rFonts w:ascii="Source Sans Pro" w:eastAsia="Times New Roman" w:hAnsi="Source Sans Pro" w:cs="Times New Roman"/>
          <w:color w:val="000000"/>
          <w:kern w:val="0"/>
          <w:sz w:val="29"/>
          <w:szCs w:val="29"/>
          <w:lang w:eastAsia="it-IT"/>
          <w14:ligatures w14:val="none"/>
        </w:rPr>
        <w:t>, potrebbe portarci verso il modello USA, che è chiaramente il più oneroso (spesa media più che tripla rispetto all’Italia) </w:t>
      </w:r>
      <w:hyperlink r:id="rId4" w:history="1">
        <w:r w:rsidRPr="006A3C96">
          <w:rPr>
            <w:rFonts w:ascii="Source Sans Pro" w:eastAsia="Times New Roman" w:hAnsi="Source Sans Pro" w:cs="Times New Roman"/>
            <w:color w:val="C9020B"/>
            <w:kern w:val="0"/>
            <w:sz w:val="29"/>
            <w:szCs w:val="29"/>
            <w:u w:val="single"/>
            <w:lang w:eastAsia="it-IT"/>
            <w14:ligatures w14:val="none"/>
          </w:rPr>
          <w:t>e meno efficace</w:t>
        </w:r>
      </w:hyperlink>
      <w:r w:rsidRPr="006A3C96">
        <w:rPr>
          <w:rFonts w:ascii="Source Sans Pro" w:eastAsia="Times New Roman" w:hAnsi="Source Sans Pro" w:cs="Times New Roman"/>
          <w:color w:val="000000"/>
          <w:kern w:val="0"/>
          <w:sz w:val="29"/>
          <w:szCs w:val="29"/>
          <w:lang w:eastAsia="it-IT"/>
          <w14:ligatures w14:val="none"/>
        </w:rPr>
        <w:t> (aspettativa di vita inferiore di sei anni)</w:t>
      </w:r>
      <w:r w:rsidRPr="006A3C96">
        <w:rPr>
          <w:rFonts w:ascii="Source Sans Pro" w:eastAsia="Times New Roman" w:hAnsi="Source Sans Pro" w:cs="Times New Roman"/>
          <w:color w:val="000000"/>
          <w:kern w:val="0"/>
          <w:sz w:val="21"/>
          <w:szCs w:val="21"/>
          <w:vertAlign w:val="superscript"/>
          <w:lang w:eastAsia="it-IT"/>
          <w14:ligatures w14:val="none"/>
        </w:rPr>
        <w:t>5, 6</w:t>
      </w:r>
      <w:r w:rsidRPr="006A3C96">
        <w:rPr>
          <w:rFonts w:ascii="Source Sans Pro" w:eastAsia="Times New Roman" w:hAnsi="Source Sans Pro" w:cs="Times New Roman"/>
          <w:color w:val="000000"/>
          <w:kern w:val="0"/>
          <w:sz w:val="29"/>
          <w:szCs w:val="29"/>
          <w:lang w:eastAsia="it-IT"/>
          <w14:ligatures w14:val="none"/>
        </w:rPr>
        <w:t>. Noi crediamo che i cittadini non vogliano scegliere questo scenario.</w:t>
      </w:r>
    </w:p>
    <w:p w14:paraId="6C5F3EAA"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2. Stiamo finanziando adeguatamente il nostro SSN?</w:t>
      </w:r>
    </w:p>
    <w:p w14:paraId="1CF3F0E7"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In Canada, nel 2002, la Commissione incaricata di proporre miglioramenti all'SSN nelle sue conclusioni scrisse molto chiaramente che </w:t>
      </w:r>
      <w:r w:rsidRPr="006A3C96">
        <w:rPr>
          <w:rFonts w:ascii="Source Sans Pro" w:eastAsia="Times New Roman" w:hAnsi="Source Sans Pro" w:cs="Times New Roman"/>
          <w:b/>
          <w:bCs/>
          <w:color w:val="000000"/>
          <w:kern w:val="0"/>
          <w:sz w:val="29"/>
          <w:szCs w:val="29"/>
          <w:lang w:eastAsia="it-IT"/>
          <w14:ligatures w14:val="none"/>
        </w:rPr>
        <w:t>il servizio sanitario è sostenibile se i cittadini lo vogliono</w:t>
      </w:r>
      <w:r w:rsidRPr="006A3C96">
        <w:rPr>
          <w:rFonts w:ascii="Source Sans Pro" w:eastAsia="Times New Roman" w:hAnsi="Source Sans Pro" w:cs="Times New Roman"/>
          <w:color w:val="000000"/>
          <w:kern w:val="0"/>
          <w:sz w:val="29"/>
          <w:szCs w:val="29"/>
          <w:lang w:eastAsia="it-IT"/>
          <w14:ligatures w14:val="none"/>
        </w:rPr>
        <w:t>. </w:t>
      </w:r>
      <w:r w:rsidRPr="006A3C96">
        <w:rPr>
          <w:rFonts w:ascii="Source Sans Pro" w:eastAsia="Times New Roman" w:hAnsi="Source Sans Pro" w:cs="Times New Roman"/>
          <w:b/>
          <w:bCs/>
          <w:color w:val="000000"/>
          <w:kern w:val="0"/>
          <w:sz w:val="29"/>
          <w:szCs w:val="29"/>
          <w:lang w:eastAsia="it-IT"/>
          <w14:ligatures w14:val="none"/>
        </w:rPr>
        <w:t>Il che significa che i cittadini ne riconoscono l’importanza, lo sostengono con le loro contribuzioni e lo utilizzano in maniera appropriata</w:t>
      </w:r>
      <w:r w:rsidRPr="006A3C96">
        <w:rPr>
          <w:rFonts w:ascii="Source Sans Pro" w:eastAsia="Times New Roman" w:hAnsi="Source Sans Pro" w:cs="Times New Roman"/>
          <w:color w:val="000000"/>
          <w:kern w:val="0"/>
          <w:sz w:val="21"/>
          <w:szCs w:val="21"/>
          <w:vertAlign w:val="superscript"/>
          <w:lang w:eastAsia="it-IT"/>
          <w14:ligatures w14:val="none"/>
        </w:rPr>
        <w:t>7</w:t>
      </w:r>
      <w:r w:rsidRPr="006A3C96">
        <w:rPr>
          <w:rFonts w:ascii="Source Sans Pro" w:eastAsia="Times New Roman" w:hAnsi="Source Sans Pro" w:cs="Times New Roman"/>
          <w:color w:val="000000"/>
          <w:kern w:val="0"/>
          <w:sz w:val="29"/>
          <w:szCs w:val="29"/>
          <w:lang w:eastAsia="it-IT"/>
          <w14:ligatures w14:val="none"/>
        </w:rPr>
        <w:t>. Oggi l'SSN è finanziato mediante la fiscalità generale, secondo il principio solidaristico, e la quota di incidenza rispetto al PIL sta scivolando verso il 6%, con un divario di un punto percentuale (corrispondente a circa 20 miliardi di €) rispetto alla media UE, e con differenze molto più marcate nei confronti dei grandi Paesi europei (Francia e Germania spendono oltre il 10% del PIL)</w:t>
      </w:r>
      <w:r w:rsidRPr="006A3C96">
        <w:rPr>
          <w:rFonts w:ascii="Source Sans Pro" w:eastAsia="Times New Roman" w:hAnsi="Source Sans Pro" w:cs="Times New Roman"/>
          <w:color w:val="000000"/>
          <w:kern w:val="0"/>
          <w:sz w:val="21"/>
          <w:szCs w:val="21"/>
          <w:vertAlign w:val="superscript"/>
          <w:lang w:eastAsia="it-IT"/>
          <w14:ligatures w14:val="none"/>
        </w:rPr>
        <w:t>8</w:t>
      </w:r>
      <w:r w:rsidRPr="006A3C96">
        <w:rPr>
          <w:rFonts w:ascii="Source Sans Pro" w:eastAsia="Times New Roman" w:hAnsi="Source Sans Pro" w:cs="Times New Roman"/>
          <w:color w:val="000000"/>
          <w:kern w:val="0"/>
          <w:sz w:val="29"/>
          <w:szCs w:val="29"/>
          <w:lang w:eastAsia="it-IT"/>
          <w14:ligatures w14:val="none"/>
        </w:rPr>
        <w:t>. La spesa sanitaria non è grado di assicurare compiutamente il rispetto del Livelli Essenziali di Assistenza (LEA)</w:t>
      </w:r>
      <w:r w:rsidRPr="006A3C96">
        <w:rPr>
          <w:rFonts w:ascii="Source Sans Pro" w:eastAsia="Times New Roman" w:hAnsi="Source Sans Pro" w:cs="Times New Roman"/>
          <w:color w:val="000000"/>
          <w:kern w:val="0"/>
          <w:sz w:val="21"/>
          <w:szCs w:val="21"/>
          <w:vertAlign w:val="superscript"/>
          <w:lang w:eastAsia="it-IT"/>
          <w14:ligatures w14:val="none"/>
        </w:rPr>
        <w:t>9</w:t>
      </w:r>
      <w:r w:rsidRPr="006A3C96">
        <w:rPr>
          <w:rFonts w:ascii="Source Sans Pro" w:eastAsia="Times New Roman" w:hAnsi="Source Sans Pro" w:cs="Times New Roman"/>
          <w:color w:val="000000"/>
          <w:kern w:val="0"/>
          <w:sz w:val="29"/>
          <w:szCs w:val="29"/>
          <w:lang w:eastAsia="it-IT"/>
          <w14:ligatures w14:val="none"/>
        </w:rPr>
        <w:t>. Solo poco più della metà delle Regioni rispettano i LEA, mentre in molte Regioni del Sud l’effettivo esercizio dei diritti non è garantito. L’autonomia differenziata potrebbe approfondire la frattura tra Nord e Sud d’Italia in termini di diritto alla salute, ancora una volta contro i principi della Costituzione</w:t>
      </w:r>
      <w:r w:rsidRPr="006A3C96">
        <w:rPr>
          <w:rFonts w:ascii="Source Sans Pro" w:eastAsia="Times New Roman" w:hAnsi="Source Sans Pro" w:cs="Times New Roman"/>
          <w:color w:val="000000"/>
          <w:kern w:val="0"/>
          <w:sz w:val="21"/>
          <w:szCs w:val="21"/>
          <w:vertAlign w:val="superscript"/>
          <w:lang w:eastAsia="it-IT"/>
          <w14:ligatures w14:val="none"/>
        </w:rPr>
        <w:t>10</w:t>
      </w:r>
      <w:r w:rsidRPr="006A3C96">
        <w:rPr>
          <w:rFonts w:ascii="Source Sans Pro" w:eastAsia="Times New Roman" w:hAnsi="Source Sans Pro" w:cs="Times New Roman"/>
          <w:color w:val="000000"/>
          <w:kern w:val="0"/>
          <w:sz w:val="29"/>
          <w:szCs w:val="29"/>
          <w:lang w:eastAsia="it-IT"/>
          <w14:ligatures w14:val="none"/>
        </w:rPr>
        <w:t>. </w:t>
      </w:r>
      <w:r w:rsidRPr="006A3C96">
        <w:rPr>
          <w:rFonts w:ascii="Source Sans Pro" w:eastAsia="Times New Roman" w:hAnsi="Source Sans Pro" w:cs="Times New Roman"/>
          <w:b/>
          <w:bCs/>
          <w:color w:val="000000"/>
          <w:kern w:val="0"/>
          <w:sz w:val="29"/>
          <w:szCs w:val="29"/>
          <w:lang w:eastAsia="it-IT"/>
          <w14:ligatures w14:val="none"/>
        </w:rPr>
        <w:t>È dunque necessario un piano straordinario di finanziamento dell'SSN e specifiche risorse devono essere destinate a rimuovere gli squilibri territoriali</w:t>
      </w:r>
      <w:r w:rsidRPr="006A3C96">
        <w:rPr>
          <w:rFonts w:ascii="Source Sans Pro" w:eastAsia="Times New Roman" w:hAnsi="Source Sans Pro" w:cs="Times New Roman"/>
          <w:color w:val="000000"/>
          <w:kern w:val="0"/>
          <w:sz w:val="29"/>
          <w:szCs w:val="29"/>
          <w:lang w:eastAsia="it-IT"/>
          <w14:ligatures w14:val="none"/>
        </w:rPr>
        <w:t>, come previsto dall’articolo 119 della Costituzione</w:t>
      </w:r>
      <w:r w:rsidRPr="006A3C96">
        <w:rPr>
          <w:rFonts w:ascii="Source Sans Pro" w:eastAsia="Times New Roman" w:hAnsi="Source Sans Pro" w:cs="Times New Roman"/>
          <w:color w:val="000000"/>
          <w:kern w:val="0"/>
          <w:sz w:val="21"/>
          <w:szCs w:val="21"/>
          <w:vertAlign w:val="superscript"/>
          <w:lang w:eastAsia="it-IT"/>
          <w14:ligatures w14:val="none"/>
        </w:rPr>
        <w:t>11</w:t>
      </w:r>
      <w:r w:rsidRPr="006A3C96">
        <w:rPr>
          <w:rFonts w:ascii="Source Sans Pro" w:eastAsia="Times New Roman" w:hAnsi="Source Sans Pro" w:cs="Times New Roman"/>
          <w:color w:val="000000"/>
          <w:kern w:val="0"/>
          <w:sz w:val="29"/>
          <w:szCs w:val="29"/>
          <w:lang w:eastAsia="it-IT"/>
          <w14:ligatures w14:val="none"/>
        </w:rPr>
        <w:t>.</w:t>
      </w:r>
    </w:p>
    <w:p w14:paraId="556D8C2F"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lastRenderedPageBreak/>
        <w:t>3. Le strutture sanitarie sono moderne e adeguate?</w:t>
      </w:r>
    </w:p>
    <w:p w14:paraId="66A7BEBD"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Parte delle nuove risorse dovrebbero essere impiegate per intervenire in profondità sull’edilizia sanitaria, in un Paese dove due ospedali su tre hanno più di 50 anni, e uno su tre è stato costruito prima del 1940, quando la medicina era letteralmente un’altra cosa</w:t>
      </w:r>
      <w:r w:rsidRPr="006A3C96">
        <w:rPr>
          <w:rFonts w:ascii="Source Sans Pro" w:eastAsia="Times New Roman" w:hAnsi="Source Sans Pro" w:cs="Times New Roman"/>
          <w:color w:val="000000"/>
          <w:kern w:val="0"/>
          <w:sz w:val="21"/>
          <w:szCs w:val="21"/>
          <w:vertAlign w:val="superscript"/>
          <w:lang w:eastAsia="it-IT"/>
          <w14:ligatures w14:val="none"/>
        </w:rPr>
        <w:t>12</w:t>
      </w:r>
      <w:r w:rsidRPr="006A3C96">
        <w:rPr>
          <w:rFonts w:ascii="Source Sans Pro" w:eastAsia="Times New Roman" w:hAnsi="Source Sans Pro" w:cs="Times New Roman"/>
          <w:color w:val="000000"/>
          <w:kern w:val="0"/>
          <w:sz w:val="29"/>
          <w:szCs w:val="29"/>
          <w:lang w:eastAsia="it-IT"/>
          <w14:ligatures w14:val="none"/>
        </w:rPr>
        <w:t>. La grande maggioranza degli ospedali risulta gravemente obsoleta sia sotto il profilo della sicurezza (sismica, antincendio) sia per le esigenze cliniche e organizzative della medicina moderna. In molti ospedali operano professionisti eccellenti e vengono eseguite procedure di alta specializzazione, con il paradosso di effettuare interventi di assoluta avanguardia in un contesto ottocentesco. Il PNRR pone in parte rimedio alla obsolescenza delle tecnologie, ma per gli ospedali prevede solo alcuni interventi antisismici, ora a rischio</w:t>
      </w:r>
      <w:r w:rsidRPr="006A3C96">
        <w:rPr>
          <w:rFonts w:ascii="Source Sans Pro" w:eastAsia="Times New Roman" w:hAnsi="Source Sans Pro" w:cs="Times New Roman"/>
          <w:color w:val="000000"/>
          <w:kern w:val="0"/>
          <w:sz w:val="21"/>
          <w:szCs w:val="21"/>
          <w:vertAlign w:val="superscript"/>
          <w:lang w:eastAsia="it-IT"/>
          <w14:ligatures w14:val="none"/>
        </w:rPr>
        <w:t>13</w:t>
      </w:r>
      <w:r w:rsidRPr="006A3C96">
        <w:rPr>
          <w:rFonts w:ascii="Source Sans Pro" w:eastAsia="Times New Roman" w:hAnsi="Source Sans Pro" w:cs="Times New Roman"/>
          <w:color w:val="000000"/>
          <w:kern w:val="0"/>
          <w:sz w:val="29"/>
          <w:szCs w:val="29"/>
          <w:lang w:eastAsia="it-IT"/>
          <w14:ligatures w14:val="none"/>
        </w:rPr>
        <w:t>. Inoltre, le risorse per l’edilizia sanitaria sono impiegate solo parzialmente dalle Regioni (oltre dieci miliardi sono ancora inutilizzati) e la capacità di spesa di molte Regioni risulta sempre più deteriorata</w:t>
      </w:r>
      <w:r w:rsidRPr="006A3C96">
        <w:rPr>
          <w:rFonts w:ascii="Source Sans Pro" w:eastAsia="Times New Roman" w:hAnsi="Source Sans Pro" w:cs="Times New Roman"/>
          <w:color w:val="000000"/>
          <w:kern w:val="0"/>
          <w:sz w:val="21"/>
          <w:szCs w:val="21"/>
          <w:vertAlign w:val="superscript"/>
          <w:lang w:eastAsia="it-IT"/>
          <w14:ligatures w14:val="none"/>
        </w:rPr>
        <w:t>14,15</w:t>
      </w:r>
      <w:r w:rsidRPr="006A3C96">
        <w:rPr>
          <w:rFonts w:ascii="Source Sans Pro" w:eastAsia="Times New Roman" w:hAnsi="Source Sans Pro" w:cs="Times New Roman"/>
          <w:color w:val="000000"/>
          <w:kern w:val="0"/>
          <w:sz w:val="29"/>
          <w:szCs w:val="29"/>
          <w:lang w:eastAsia="it-IT"/>
          <w14:ligatures w14:val="none"/>
        </w:rPr>
        <w:t>.</w:t>
      </w:r>
    </w:p>
    <w:p w14:paraId="4C4D466E"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4. Gli operatori dell'SSN si sentono valorizzati, tutelati e motivati?</w:t>
      </w:r>
    </w:p>
    <w:p w14:paraId="4B93C7C5"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Più di quello edile o tecnologico, il grande patrimonio dell'SSN è il suo personale: se per installare una sofisticata apparecchiatura sono necessari un paio d’anni dal momento della decisione, molti di più occorrono per disporre di professionisti sanitari competenti, per i quali il processo formativo e di aggiornamento continua lungo tutta la vita lavorativa. Ma nello scenario di obsolescenza strutturale, e di fronte a cittadini/pazienti sempre più insoddisfatti (e quindi spesso, purtroppo, aggressivi o rivendicativi) è inevitabile che gli operatori siano sottoposti a una forte pressione, e cresca l’insoddisfazione. </w:t>
      </w:r>
      <w:r w:rsidRPr="006A3C96">
        <w:rPr>
          <w:rFonts w:ascii="Source Sans Pro" w:eastAsia="Times New Roman" w:hAnsi="Source Sans Pro" w:cs="Times New Roman"/>
          <w:b/>
          <w:bCs/>
          <w:color w:val="000000"/>
          <w:kern w:val="0"/>
          <w:sz w:val="29"/>
          <w:szCs w:val="29"/>
          <w:lang w:eastAsia="it-IT"/>
          <w14:ligatures w14:val="none"/>
        </w:rPr>
        <w:t>Il risultato è una fuga dal pubblico e, nel perimetro del pubblico, dai luoghi di maggior tensione</w:t>
      </w:r>
      <w:r w:rsidRPr="006A3C96">
        <w:rPr>
          <w:rFonts w:ascii="Source Sans Pro" w:eastAsia="Times New Roman" w:hAnsi="Source Sans Pro" w:cs="Times New Roman"/>
          <w:color w:val="000000"/>
          <w:kern w:val="0"/>
          <w:sz w:val="29"/>
          <w:szCs w:val="29"/>
          <w:lang w:eastAsia="it-IT"/>
          <w14:ligatures w14:val="none"/>
        </w:rPr>
        <w:t> (si pensi, su tutte, all’area dell’urgenza-emergenza), che rischia di creare gravi carenze in particolare in alcune specialità</w:t>
      </w:r>
      <w:r w:rsidRPr="006A3C96">
        <w:rPr>
          <w:rFonts w:ascii="Source Sans Pro" w:eastAsia="Times New Roman" w:hAnsi="Source Sans Pro" w:cs="Times New Roman"/>
          <w:color w:val="000000"/>
          <w:kern w:val="0"/>
          <w:sz w:val="21"/>
          <w:szCs w:val="21"/>
          <w:vertAlign w:val="superscript"/>
          <w:lang w:eastAsia="it-IT"/>
          <w14:ligatures w14:val="none"/>
        </w:rPr>
        <w:t>16</w:t>
      </w:r>
      <w:r w:rsidRPr="006A3C96">
        <w:rPr>
          <w:rFonts w:ascii="Source Sans Pro" w:eastAsia="Times New Roman" w:hAnsi="Source Sans Pro" w:cs="Times New Roman"/>
          <w:color w:val="000000"/>
          <w:kern w:val="0"/>
          <w:sz w:val="29"/>
          <w:szCs w:val="29"/>
          <w:lang w:eastAsia="it-IT"/>
          <w14:ligatures w14:val="none"/>
        </w:rPr>
        <w:t xml:space="preserve">. È fuor di discussione che sia necessario aumentare i compensi agli operatori ma non è solo un problema salariale: molti accetterebbero incrementi contenuti della propria retribuzione se si vedessero garantite condizioni di lavoro soddisfacenti con turni meno usuranti, sicurezza personale, una formazione gratuita e di qualità, maggiori possibilità di carriera </w:t>
      </w:r>
      <w:r w:rsidRPr="006A3C96">
        <w:rPr>
          <w:rFonts w:ascii="Source Sans Pro" w:eastAsia="Times New Roman" w:hAnsi="Source Sans Pro" w:cs="Times New Roman"/>
          <w:color w:val="000000"/>
          <w:kern w:val="0"/>
          <w:sz w:val="29"/>
          <w:szCs w:val="29"/>
          <w:lang w:eastAsia="it-IT"/>
          <w14:ligatures w14:val="none"/>
        </w:rPr>
        <w:lastRenderedPageBreak/>
        <w:t>professionale, la non perseguibilità penale per errori colposi. Particolarmente grave è inoltre la carenza degli infermieri (in numero ampiamente inferiore alla media europea). Disporre di infermieri e tecnici altamente qualificati potrebbe consentire quella redistribuzione razionale dei compiti tra differenti professionalità sanitarie (oltre a una più flessibile composizione delle équipe assistenziali), delle quali è ormai ben dimostrata l’efficacia clinica e l’efficienza organizzativa</w:t>
      </w:r>
      <w:r w:rsidRPr="006A3C96">
        <w:rPr>
          <w:rFonts w:ascii="Source Sans Pro" w:eastAsia="Times New Roman" w:hAnsi="Source Sans Pro" w:cs="Times New Roman"/>
          <w:color w:val="000000"/>
          <w:kern w:val="0"/>
          <w:sz w:val="21"/>
          <w:szCs w:val="21"/>
          <w:vertAlign w:val="superscript"/>
          <w:lang w:eastAsia="it-IT"/>
          <w14:ligatures w14:val="none"/>
        </w:rPr>
        <w:t>17</w:t>
      </w:r>
      <w:r w:rsidRPr="006A3C96">
        <w:rPr>
          <w:rFonts w:ascii="Source Sans Pro" w:eastAsia="Times New Roman" w:hAnsi="Source Sans Pro" w:cs="Times New Roman"/>
          <w:color w:val="000000"/>
          <w:kern w:val="0"/>
          <w:sz w:val="29"/>
          <w:szCs w:val="29"/>
          <w:lang w:eastAsia="it-IT"/>
          <w14:ligatures w14:val="none"/>
        </w:rPr>
        <w:t>.</w:t>
      </w:r>
    </w:p>
    <w:p w14:paraId="7F63BA49"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5. La continuità assistenziale sta funzionando?</w:t>
      </w:r>
    </w:p>
    <w:p w14:paraId="2FEE8E0A"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Da decenni si parla di continuità assistenziale (ospedale-territorio-domicilio e viceversa), ma i progressi in questa direzione sono stati limitati. Oggi il problema non è più procrastinabile. Tra 25 anni quasi due italiani su cinque avranno più di 65 anni, molti dei quali affetti da almeno una patologia cronica</w:t>
      </w:r>
      <w:r w:rsidRPr="006A3C96">
        <w:rPr>
          <w:rFonts w:ascii="Source Sans Pro" w:eastAsia="Times New Roman" w:hAnsi="Source Sans Pro" w:cs="Times New Roman"/>
          <w:color w:val="000000"/>
          <w:kern w:val="0"/>
          <w:sz w:val="21"/>
          <w:szCs w:val="21"/>
          <w:vertAlign w:val="superscript"/>
          <w:lang w:eastAsia="it-IT"/>
          <w14:ligatures w14:val="none"/>
        </w:rPr>
        <w:t>18</w:t>
      </w:r>
      <w:r w:rsidRPr="006A3C96">
        <w:rPr>
          <w:rFonts w:ascii="Source Sans Pro" w:eastAsia="Times New Roman" w:hAnsi="Source Sans Pro" w:cs="Times New Roman"/>
          <w:color w:val="000000"/>
          <w:kern w:val="0"/>
          <w:sz w:val="29"/>
          <w:szCs w:val="29"/>
          <w:lang w:eastAsia="it-IT"/>
          <w14:ligatures w14:val="none"/>
        </w:rPr>
        <w:t xml:space="preserve">. Quello cui assistiamo è il paradosso della medicina moderna: il miglioramento nel contrasto a molte malattie comporta un esponenziale incremento dei costi; quello che una volta non si poteva curare ora si cura (talora con grande impiego di risorse) e spesso trasforma una morte certa e in tempi brevi in una patologia cronica che determina costi continuativi per un lungo periodo. Occorre disegnare un percorso, concertato tra tutti i protagonisti, uniforme sul territorio nazionale, di continuità tra ospedale e territorio: dagli Ospedali di comunità alle Case della comunità, dal mondo del Long </w:t>
      </w:r>
      <w:proofErr w:type="spellStart"/>
      <w:r w:rsidRPr="006A3C96">
        <w:rPr>
          <w:rFonts w:ascii="Source Sans Pro" w:eastAsia="Times New Roman" w:hAnsi="Source Sans Pro" w:cs="Times New Roman"/>
          <w:color w:val="000000"/>
          <w:kern w:val="0"/>
          <w:sz w:val="29"/>
          <w:szCs w:val="29"/>
          <w:lang w:eastAsia="it-IT"/>
          <w14:ligatures w14:val="none"/>
        </w:rPr>
        <w:t>Term</w:t>
      </w:r>
      <w:proofErr w:type="spellEnd"/>
      <w:r w:rsidRPr="006A3C96">
        <w:rPr>
          <w:rFonts w:ascii="Source Sans Pro" w:eastAsia="Times New Roman" w:hAnsi="Source Sans Pro" w:cs="Times New Roman"/>
          <w:color w:val="000000"/>
          <w:kern w:val="0"/>
          <w:sz w:val="29"/>
          <w:szCs w:val="29"/>
          <w:lang w:eastAsia="it-IT"/>
          <w14:ligatures w14:val="none"/>
        </w:rPr>
        <w:t xml:space="preserve"> Care alle nuove tecnologie (telemedicina). E che includa, come protagonisti non periferici, anche i Medici di medicina generale, il cui ruolo va rivalorizzato</w:t>
      </w:r>
      <w:r w:rsidRPr="006A3C96">
        <w:rPr>
          <w:rFonts w:ascii="Source Sans Pro" w:eastAsia="Times New Roman" w:hAnsi="Source Sans Pro" w:cs="Times New Roman"/>
          <w:color w:val="000000"/>
          <w:kern w:val="0"/>
          <w:sz w:val="21"/>
          <w:szCs w:val="21"/>
          <w:vertAlign w:val="superscript"/>
          <w:lang w:eastAsia="it-IT"/>
          <w14:ligatures w14:val="none"/>
        </w:rPr>
        <w:t>19</w:t>
      </w:r>
      <w:r w:rsidRPr="006A3C96">
        <w:rPr>
          <w:rFonts w:ascii="Source Sans Pro" w:eastAsia="Times New Roman" w:hAnsi="Source Sans Pro" w:cs="Times New Roman"/>
          <w:color w:val="000000"/>
          <w:kern w:val="0"/>
          <w:sz w:val="29"/>
          <w:szCs w:val="29"/>
          <w:lang w:eastAsia="it-IT"/>
          <w14:ligatures w14:val="none"/>
        </w:rPr>
        <w:t>.</w:t>
      </w:r>
    </w:p>
    <w:p w14:paraId="6DCBD180"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6. L’organizzazione dell'SSN e la misurazione dei suoi risultati sono efficienti, efficaci e utilizzano le tecnologie disponibili?</w:t>
      </w:r>
    </w:p>
    <w:p w14:paraId="3F30FA5C"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 xml:space="preserve">Non abbiamo dati affidabili sulla base dei quali costruire analisi, modelli, ipotesi e programmazione. L’eterogeneità delle 21 Regioni o Province autonome, e al loro interno la difformità dei sistemi informativi e della raccolta dei dati, fanno sì che oggi le informazioni raccolte contribuiscano solo marginalmente alla comprensione della realtà e alla pianificazione dell'SSN. Esemplificativo in questo senso è il dato relativo alle liste d’attesa, su cui sappiamo troppo poco per poterlo affrontare efficacemente. Un grande sforzo, soprattutto di indirizzo e riorganizzazione, deve essere fatto per raccogliere dati </w:t>
      </w:r>
      <w:r w:rsidRPr="006A3C96">
        <w:rPr>
          <w:rFonts w:ascii="Source Sans Pro" w:eastAsia="Times New Roman" w:hAnsi="Source Sans Pro" w:cs="Times New Roman"/>
          <w:color w:val="000000"/>
          <w:kern w:val="0"/>
          <w:sz w:val="29"/>
          <w:szCs w:val="29"/>
          <w:lang w:eastAsia="it-IT"/>
          <w14:ligatures w14:val="none"/>
        </w:rPr>
        <w:lastRenderedPageBreak/>
        <w:t>attendibili, elaborarli e analizzarli, per avere una fotografia dell’esistente più prossima alla realtà, che possa permettere interventi correttivi e di programmazione puntuali ed efficaci.</w:t>
      </w:r>
    </w:p>
    <w:p w14:paraId="550173C3"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7. Stiamo governando adeguatamente l’immissione delle nuove tecnologie?</w:t>
      </w:r>
    </w:p>
    <w:p w14:paraId="33C2DF99"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 xml:space="preserve">L’innovazione in medicina è una spinta formidabile al miglioramento della qualità delle cure, ma in un contesto dominato dalla carenza di pianificazione e da interessi commerciali talora accade che vengano introdotte tecnologie (e tra queste i farmaci) che non producono significativi miglioramenti sul piano clinico (beneficio per il paziente) ma che risultano invece molto onerose. Tecnologie e farmaci poco efficaci o impiegati in modo inappropriato sottraggono risorse ad ambiti dove quelle risorse potrebbero produrre benefici molto più tangibili e rilevanti. Da decenni è sollecitata da più parti la diffusione di metodologie di HTA (Health Technology </w:t>
      </w:r>
      <w:proofErr w:type="spellStart"/>
      <w:r w:rsidRPr="006A3C96">
        <w:rPr>
          <w:rFonts w:ascii="Source Sans Pro" w:eastAsia="Times New Roman" w:hAnsi="Source Sans Pro" w:cs="Times New Roman"/>
          <w:color w:val="000000"/>
          <w:kern w:val="0"/>
          <w:sz w:val="29"/>
          <w:szCs w:val="29"/>
          <w:lang w:eastAsia="it-IT"/>
          <w14:ligatures w14:val="none"/>
        </w:rPr>
        <w:t>Assessment</w:t>
      </w:r>
      <w:proofErr w:type="spellEnd"/>
      <w:r w:rsidRPr="006A3C96">
        <w:rPr>
          <w:rFonts w:ascii="Source Sans Pro" w:eastAsia="Times New Roman" w:hAnsi="Source Sans Pro" w:cs="Times New Roman"/>
          <w:color w:val="000000"/>
          <w:kern w:val="0"/>
          <w:sz w:val="29"/>
          <w:szCs w:val="29"/>
          <w:lang w:eastAsia="it-IT"/>
          <w14:ligatures w14:val="none"/>
        </w:rPr>
        <w:t xml:space="preserve"> - Valutazione delle tecnologie sanitarie), che verifichino, prima dell’introduzione di una tecnologia innovativa, la coerenza del rapporto costo/beneficio, sia a livello nazionale e regionale sia a livello di ASL e Ospedale. Al contempo è necessario investire molto di più in ricerca in tutti gli ambiti; si pensi per esempio alla cura delle malattie rare (pressoché ignorate dall’industria perché non redditizie) o alla questione delle differenze di genere (le donne ricevono farmaci studiati sui maschi ignorando che il metabolismo, l’efficacia e la tolleranza dei farmaci sono diversi nei due sessi).</w:t>
      </w:r>
    </w:p>
    <w:p w14:paraId="5608CFAA"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b/>
          <w:bCs/>
          <w:color w:val="000000"/>
          <w:kern w:val="0"/>
          <w:sz w:val="29"/>
          <w:szCs w:val="29"/>
          <w:lang w:eastAsia="it-IT"/>
          <w14:ligatures w14:val="none"/>
        </w:rPr>
        <w:t>Ma soprattutto occorre, per quanto sia impopolare, fare delle scelte politiche trasparenti e basate su prove scientifiche su quali prestazioni garantire e quali limitare entro l'SSN</w:t>
      </w:r>
      <w:r w:rsidRPr="006A3C96">
        <w:rPr>
          <w:rFonts w:ascii="Source Sans Pro" w:eastAsia="Times New Roman" w:hAnsi="Source Sans Pro" w:cs="Times New Roman"/>
          <w:color w:val="000000"/>
          <w:kern w:val="0"/>
          <w:sz w:val="29"/>
          <w:szCs w:val="29"/>
          <w:lang w:eastAsia="it-IT"/>
          <w14:ligatures w14:val="none"/>
        </w:rPr>
        <w:t>. La nostra medicina offre troppo ad alcuni (perlopiù ricchi) e troppo poco ad altri (perlopiù poveri). Anche in questo perimetro si deve inserire il potenziamento dell'SSN nell’ambito della ricerca, sulla scorta di esperienze nazionali (come il GISSI</w:t>
      </w:r>
      <w:r w:rsidRPr="006A3C96">
        <w:rPr>
          <w:rFonts w:ascii="Source Sans Pro" w:eastAsia="Times New Roman" w:hAnsi="Source Sans Pro" w:cs="Times New Roman"/>
          <w:color w:val="000000"/>
          <w:kern w:val="0"/>
          <w:sz w:val="21"/>
          <w:szCs w:val="21"/>
          <w:vertAlign w:val="superscript"/>
          <w:lang w:eastAsia="it-IT"/>
          <w14:ligatures w14:val="none"/>
        </w:rPr>
        <w:t>20</w:t>
      </w:r>
      <w:r w:rsidRPr="006A3C96">
        <w:rPr>
          <w:rFonts w:ascii="Source Sans Pro" w:eastAsia="Times New Roman" w:hAnsi="Source Sans Pro" w:cs="Times New Roman"/>
          <w:color w:val="000000"/>
          <w:kern w:val="0"/>
          <w:sz w:val="29"/>
          <w:szCs w:val="29"/>
          <w:lang w:eastAsia="it-IT"/>
          <w14:ligatures w14:val="none"/>
        </w:rPr>
        <w:t>) o internazionali, per produrre prove di efficacia laddove queste scarseggino o siano controverse. Esemplare l’esempio dello studio inglese RECOVERY</w:t>
      </w:r>
      <w:r w:rsidRPr="006A3C96">
        <w:rPr>
          <w:rFonts w:ascii="Source Sans Pro" w:eastAsia="Times New Roman" w:hAnsi="Source Sans Pro" w:cs="Times New Roman"/>
          <w:color w:val="000000"/>
          <w:kern w:val="0"/>
          <w:sz w:val="21"/>
          <w:szCs w:val="21"/>
          <w:vertAlign w:val="superscript"/>
          <w:lang w:eastAsia="it-IT"/>
          <w14:ligatures w14:val="none"/>
        </w:rPr>
        <w:t>21</w:t>
      </w:r>
      <w:r w:rsidRPr="006A3C96">
        <w:rPr>
          <w:rFonts w:ascii="Source Sans Pro" w:eastAsia="Times New Roman" w:hAnsi="Source Sans Pro" w:cs="Times New Roman"/>
          <w:color w:val="000000"/>
          <w:kern w:val="0"/>
          <w:sz w:val="29"/>
          <w:szCs w:val="29"/>
          <w:lang w:eastAsia="it-IT"/>
          <w14:ligatures w14:val="none"/>
        </w:rPr>
        <w:t> sul trattamento del COVID-19, condotto nell'NHS e decisivo per le scelte terapeutiche.</w:t>
      </w:r>
    </w:p>
    <w:p w14:paraId="2B1399DB"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Inoltre, per i farmaci e i trattamenti innovativi servono nuovi modelli per fissare rimborsi che siano basati, oltre che su ragionevoli margini di profitto, sui reali costi di sviluppo, validazione e produzione.</w:t>
      </w:r>
    </w:p>
    <w:p w14:paraId="2A022C05"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lastRenderedPageBreak/>
        <w:t>8. L’accesso alle cure è agevole e sufficientemente tempestivo?</w:t>
      </w:r>
    </w:p>
    <w:p w14:paraId="305F7DE8"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Si è già accennato al tema delle liste d’attesa, ma dovrebbe essere chiaro che la dilatazione - insostenibile - dei tempi di attesa per le prestazioni sanitarie è solo il sintomo del complesso di problemi che sta affliggendo l'SSN. </w:t>
      </w:r>
      <w:r w:rsidRPr="006A3C96">
        <w:rPr>
          <w:rFonts w:ascii="Source Sans Pro" w:eastAsia="Times New Roman" w:hAnsi="Source Sans Pro" w:cs="Times New Roman"/>
          <w:b/>
          <w:bCs/>
          <w:color w:val="000000"/>
          <w:kern w:val="0"/>
          <w:sz w:val="29"/>
          <w:szCs w:val="29"/>
          <w:lang w:eastAsia="it-IT"/>
          <w14:ligatures w14:val="none"/>
        </w:rPr>
        <w:t>Le liste d’attesa producono effetti gravi sulla salute dei cittadini, traducendosi spesso nella rinuncia alle cure</w:t>
      </w:r>
      <w:r w:rsidRPr="006A3C96">
        <w:rPr>
          <w:rFonts w:ascii="Source Sans Pro" w:eastAsia="Times New Roman" w:hAnsi="Source Sans Pro" w:cs="Times New Roman"/>
          <w:color w:val="000000"/>
          <w:kern w:val="0"/>
          <w:sz w:val="20"/>
          <w:szCs w:val="20"/>
          <w:vertAlign w:val="superscript"/>
          <w:lang w:eastAsia="it-IT"/>
          <w14:ligatures w14:val="none"/>
        </w:rPr>
        <w:t>22</w:t>
      </w:r>
      <w:r w:rsidRPr="006A3C96">
        <w:rPr>
          <w:rFonts w:ascii="Source Sans Pro" w:eastAsia="Times New Roman" w:hAnsi="Source Sans Pro" w:cs="Times New Roman"/>
          <w:color w:val="000000"/>
          <w:kern w:val="0"/>
          <w:sz w:val="29"/>
          <w:szCs w:val="29"/>
          <w:lang w:eastAsia="it-IT"/>
          <w14:ligatures w14:val="none"/>
        </w:rPr>
        <w:t> (un over-65 su quattro rinuncia nel corso dell’anno ad almeno una prestazione sanitaria</w:t>
      </w:r>
      <w:r w:rsidRPr="006A3C96">
        <w:rPr>
          <w:rFonts w:ascii="Source Sans Pro" w:eastAsia="Times New Roman" w:hAnsi="Source Sans Pro" w:cs="Times New Roman"/>
          <w:color w:val="000000"/>
          <w:kern w:val="0"/>
          <w:sz w:val="21"/>
          <w:szCs w:val="21"/>
          <w:vertAlign w:val="superscript"/>
          <w:lang w:eastAsia="it-IT"/>
          <w14:ligatures w14:val="none"/>
        </w:rPr>
        <w:t>23</w:t>
      </w:r>
      <w:proofErr w:type="gramStart"/>
      <w:r w:rsidRPr="006A3C96">
        <w:rPr>
          <w:rFonts w:ascii="Source Sans Pro" w:eastAsia="Times New Roman" w:hAnsi="Source Sans Pro" w:cs="Times New Roman"/>
          <w:color w:val="000000"/>
          <w:kern w:val="0"/>
          <w:sz w:val="29"/>
          <w:szCs w:val="29"/>
          <w:lang w:eastAsia="it-IT"/>
          <w14:ligatures w14:val="none"/>
        </w:rPr>
        <w:t>) ;</w:t>
      </w:r>
      <w:proofErr w:type="gramEnd"/>
      <w:r w:rsidRPr="006A3C96">
        <w:rPr>
          <w:rFonts w:ascii="Source Sans Pro" w:eastAsia="Times New Roman" w:hAnsi="Source Sans Pro" w:cs="Times New Roman"/>
          <w:color w:val="000000"/>
          <w:kern w:val="0"/>
          <w:sz w:val="29"/>
          <w:szCs w:val="29"/>
          <w:lang w:eastAsia="it-IT"/>
          <w14:ligatures w14:val="none"/>
        </w:rPr>
        <w:t xml:space="preserve"> il fenomeno - e questo è uno degli aspetti più preoccupanti - è ancora più marcato tra i soggetti economicamente fragili, per i quali l’ipotesi di un esborso di denaro per accedere a una prestazione a pagamento non è tra le opzioni percorribili. L’intervento sulle liste d’attesa deve prevedere una strategia coordinata, che riduca drasticamente </w:t>
      </w:r>
      <w:r w:rsidRPr="006A3C96">
        <w:rPr>
          <w:rFonts w:ascii="Source Sans Pro" w:eastAsia="Times New Roman" w:hAnsi="Source Sans Pro" w:cs="Times New Roman"/>
          <w:b/>
          <w:bCs/>
          <w:color w:val="000000"/>
          <w:kern w:val="0"/>
          <w:sz w:val="29"/>
          <w:szCs w:val="29"/>
          <w:lang w:eastAsia="it-IT"/>
          <w14:ligatures w14:val="none"/>
        </w:rPr>
        <w:t>l’elevata quota di inappropriatezza</w:t>
      </w:r>
      <w:r w:rsidRPr="006A3C96">
        <w:rPr>
          <w:rFonts w:ascii="Source Sans Pro" w:eastAsia="Times New Roman" w:hAnsi="Source Sans Pro" w:cs="Times New Roman"/>
          <w:color w:val="000000"/>
          <w:kern w:val="0"/>
          <w:sz w:val="29"/>
          <w:szCs w:val="29"/>
          <w:lang w:eastAsia="it-IT"/>
          <w14:ligatures w14:val="none"/>
        </w:rPr>
        <w:t>: un cittadino che esegue una prestazione sanitaria inutile, oltre a rischiare di danneggiare la propria salute, certamente sottrae la disponibilità di quella prestazione a un paziente per il quale è necessaria. Attualmente il sistema nel suo complesso prescrive molto di più di quello che è in grado di erogare. Occorre quindi allineare prescritto e prodotto, utilizzando le tecnologie disponibili per effettuare prenotazioni automatiche all’interno dell'SSN, e lavorando sia sul lato domanda/prescrizioni (appropriatezza e standard assistenziali coerenti alle risorse disponibili), sia sul lato offerta.</w:t>
      </w:r>
    </w:p>
    <w:p w14:paraId="5A6DE8B3"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9. Le attuali politiche di prevenzione sono sufficienti?</w:t>
      </w:r>
    </w:p>
    <w:p w14:paraId="4584F671"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La spesa per la prevenzione in Italia è da sempre al di sotto di quanto programmato (5% della spesa pubblica)</w:t>
      </w:r>
      <w:r w:rsidRPr="006A3C96">
        <w:rPr>
          <w:rFonts w:ascii="Source Sans Pro" w:eastAsia="Times New Roman" w:hAnsi="Source Sans Pro" w:cs="Times New Roman"/>
          <w:color w:val="000000"/>
          <w:kern w:val="0"/>
          <w:sz w:val="21"/>
          <w:szCs w:val="21"/>
          <w:vertAlign w:val="superscript"/>
          <w:lang w:eastAsia="it-IT"/>
          <w14:ligatures w14:val="none"/>
        </w:rPr>
        <w:t>24</w:t>
      </w:r>
      <w:r w:rsidRPr="006A3C96">
        <w:rPr>
          <w:rFonts w:ascii="Source Sans Pro" w:eastAsia="Times New Roman" w:hAnsi="Source Sans Pro" w:cs="Times New Roman"/>
          <w:color w:val="000000"/>
          <w:kern w:val="0"/>
          <w:sz w:val="29"/>
          <w:szCs w:val="29"/>
          <w:lang w:eastAsia="it-IT"/>
          <w14:ligatures w14:val="none"/>
        </w:rPr>
        <w:t>, il che dà in parte conto degli insoddisfacenti tassi di adesione ai programmi di screening oncologico che si registrano in quasi tutta Italia. Ma ancora più evidente è il divario riguardante la prevenzione primaria; se è vero che nel corso degli ultimi decenni si è ridotta la percentuale di fumatori, su altri versanti stiamo assistendo a una preoccupante inversione degli indicatori. Per fare un esempio, nell’UE abbiamo gli adulti più “magri”, ma al contempo abbiamo una delle percentuali più alte di bambini sovrappeso o addirittura obesi, e tale dato correla sia con un cambiamento - preoccupante - delle abitudini alimentari sia con la scarsa propensione degli italiani all’attività fisica</w:t>
      </w:r>
      <w:r w:rsidRPr="006A3C96">
        <w:rPr>
          <w:rFonts w:ascii="Source Sans Pro" w:eastAsia="Times New Roman" w:hAnsi="Source Sans Pro" w:cs="Times New Roman"/>
          <w:color w:val="000000"/>
          <w:kern w:val="0"/>
          <w:sz w:val="21"/>
          <w:szCs w:val="21"/>
          <w:vertAlign w:val="superscript"/>
          <w:lang w:eastAsia="it-IT"/>
          <w14:ligatures w14:val="none"/>
        </w:rPr>
        <w:t>25</w:t>
      </w:r>
      <w:r w:rsidRPr="006A3C96">
        <w:rPr>
          <w:rFonts w:ascii="Source Sans Pro" w:eastAsia="Times New Roman" w:hAnsi="Source Sans Pro" w:cs="Times New Roman"/>
          <w:color w:val="000000"/>
          <w:kern w:val="0"/>
          <w:sz w:val="29"/>
          <w:szCs w:val="29"/>
          <w:lang w:eastAsia="it-IT"/>
          <w14:ligatures w14:val="none"/>
        </w:rPr>
        <w:t>. </w:t>
      </w:r>
      <w:r w:rsidRPr="006A3C96">
        <w:rPr>
          <w:rFonts w:ascii="Source Sans Pro" w:eastAsia="Times New Roman" w:hAnsi="Source Sans Pro" w:cs="Times New Roman"/>
          <w:b/>
          <w:bCs/>
          <w:color w:val="000000"/>
          <w:kern w:val="0"/>
          <w:sz w:val="29"/>
          <w:szCs w:val="29"/>
          <w:lang w:eastAsia="it-IT"/>
          <w14:ligatures w14:val="none"/>
        </w:rPr>
        <w:t>La salute si tutela in tutte le politiche</w:t>
      </w:r>
      <w:r w:rsidRPr="006A3C96">
        <w:rPr>
          <w:rFonts w:ascii="Source Sans Pro" w:eastAsia="Times New Roman" w:hAnsi="Source Sans Pro" w:cs="Times New Roman"/>
          <w:color w:val="000000"/>
          <w:kern w:val="0"/>
          <w:sz w:val="29"/>
          <w:szCs w:val="29"/>
          <w:lang w:eastAsia="it-IT"/>
          <w14:ligatures w14:val="none"/>
        </w:rPr>
        <w:t xml:space="preserve">, da quelle </w:t>
      </w:r>
      <w:r w:rsidRPr="006A3C96">
        <w:rPr>
          <w:rFonts w:ascii="Source Sans Pro" w:eastAsia="Times New Roman" w:hAnsi="Source Sans Pro" w:cs="Times New Roman"/>
          <w:color w:val="000000"/>
          <w:kern w:val="0"/>
          <w:sz w:val="29"/>
          <w:szCs w:val="29"/>
          <w:lang w:eastAsia="it-IT"/>
          <w14:ligatures w14:val="none"/>
        </w:rPr>
        <w:lastRenderedPageBreak/>
        <w:t>industriali a quelle agricole, da quelle urbane a quelle relative alla mobilità (si pensi al modello delle “città dei 15 minuti”, i cui obiettivi convergenti sono la riduzione dell’inquinamento atmosferico da traffico veicolare e l’aumento dell’attività fisica da parte dei cittadini)</w:t>
      </w:r>
      <w:r w:rsidRPr="006A3C96">
        <w:rPr>
          <w:rFonts w:ascii="Source Sans Pro" w:eastAsia="Times New Roman" w:hAnsi="Source Sans Pro" w:cs="Times New Roman"/>
          <w:color w:val="000000"/>
          <w:kern w:val="0"/>
          <w:sz w:val="21"/>
          <w:szCs w:val="21"/>
          <w:vertAlign w:val="superscript"/>
          <w:lang w:eastAsia="it-IT"/>
          <w14:ligatures w14:val="none"/>
        </w:rPr>
        <w:t>26</w:t>
      </w:r>
      <w:r w:rsidRPr="006A3C96">
        <w:rPr>
          <w:rFonts w:ascii="Source Sans Pro" w:eastAsia="Times New Roman" w:hAnsi="Source Sans Pro" w:cs="Times New Roman"/>
          <w:color w:val="000000"/>
          <w:kern w:val="0"/>
          <w:sz w:val="29"/>
          <w:szCs w:val="29"/>
          <w:lang w:eastAsia="it-IT"/>
          <w14:ligatures w14:val="none"/>
        </w:rPr>
        <w:t>.</w:t>
      </w:r>
    </w:p>
    <w:p w14:paraId="18EF179B" w14:textId="77777777" w:rsidR="006A3C96" w:rsidRPr="006A3C96" w:rsidRDefault="006A3C96" w:rsidP="006A3C96">
      <w:pPr>
        <w:shd w:val="clear" w:color="auto" w:fill="FEFEFE"/>
        <w:spacing w:before="315" w:after="158" w:line="240" w:lineRule="auto"/>
        <w:outlineLvl w:val="1"/>
        <w:rPr>
          <w:rFonts w:ascii="Source Sans Pro" w:eastAsia="Times New Roman" w:hAnsi="Source Sans Pro" w:cs="Times New Roman"/>
          <w:color w:val="000000"/>
          <w:kern w:val="0"/>
          <w:sz w:val="48"/>
          <w:szCs w:val="48"/>
          <w:lang w:eastAsia="it-IT"/>
          <w14:ligatures w14:val="none"/>
        </w:rPr>
      </w:pPr>
      <w:r w:rsidRPr="006A3C96">
        <w:rPr>
          <w:rFonts w:ascii="Source Sans Pro" w:eastAsia="Times New Roman" w:hAnsi="Source Sans Pro" w:cs="Times New Roman"/>
          <w:color w:val="000000"/>
          <w:kern w:val="0"/>
          <w:sz w:val="48"/>
          <w:szCs w:val="48"/>
          <w:lang w:eastAsia="it-IT"/>
          <w14:ligatures w14:val="none"/>
        </w:rPr>
        <w:t>10. I cittadini sono consapevoli della complessità del tema salute e hanno gli strumenti per essere protagonisti?</w:t>
      </w:r>
    </w:p>
    <w:p w14:paraId="276964E2"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I cittadini sono normalmente informati sugli scenari della salute e della sanità (quando non si trovano a farne esperienza diretta) dai media generalisti o dal web. Sono tuttavia spesso disorientati, tra visioni miracolistiche e - all’altro estremo - diffidenza o sospetto che possono trasformarsi in rifiuto della “medicina ufficiale” (con conseguenze talora serie per la loro salute). Rendere i cittadini protagonisti in ambito sanitario necessita di un grande investimento - di portata strategica, e prevalentemente culturale - per aumentare le loro conoscenze scientifiche e la consapevolezza di come tutelare la loro salute. Questo potrebbe consentire ai cittadini di comprendere come le politiche ambientali, urbane, industriali, del territorio, sono determinanti fondamentali nella tutela e nella promozione della loro salute, e uscire dalla diade fideismo-negazionismo. Per il punto precedente e per questo, l'SSN può essere uno straordinario promotore di cultura e di iniziative intersettoriali, se tutti lo sosteniamo come patrimonio condiviso.</w:t>
      </w:r>
    </w:p>
    <w:p w14:paraId="11500833" w14:textId="77777777" w:rsidR="006A3C96" w:rsidRPr="006A3C96" w:rsidRDefault="006A3C96" w:rsidP="006A3C96">
      <w:pPr>
        <w:shd w:val="clear" w:color="auto" w:fill="FEFEFE"/>
        <w:spacing w:before="300" w:after="150" w:line="240" w:lineRule="auto"/>
        <w:rPr>
          <w:rFonts w:ascii="Source Sans Pro" w:eastAsia="Times New Roman" w:hAnsi="Source Sans Pro" w:cs="Times New Roman"/>
          <w:color w:val="000000"/>
          <w:kern w:val="0"/>
          <w:sz w:val="29"/>
          <w:szCs w:val="29"/>
          <w:lang w:eastAsia="it-IT"/>
          <w14:ligatures w14:val="none"/>
        </w:rPr>
      </w:pPr>
      <w:r w:rsidRPr="006A3C96">
        <w:rPr>
          <w:rFonts w:ascii="Source Sans Pro" w:eastAsia="Times New Roman" w:hAnsi="Source Sans Pro" w:cs="Times New Roman"/>
          <w:color w:val="000000"/>
          <w:kern w:val="0"/>
          <w:sz w:val="29"/>
          <w:szCs w:val="29"/>
          <w:lang w:eastAsia="it-IT"/>
          <w14:ligatures w14:val="none"/>
        </w:rPr>
        <w:t>Tra qualche anno celebreremo il 50° compleanno del nostro SSN: mantenerlo efficiente e in buona salute è un dovere morale verso le prossime generazioni, per non disperdere un patrimonio unico che abbiamo avuto la fortuna di ereditare.</w:t>
      </w:r>
    </w:p>
    <w:p w14:paraId="7F02D9FC" w14:textId="77777777" w:rsidR="006A3C96" w:rsidRDefault="006A3C96"/>
    <w:sectPr w:rsidR="006A3C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96"/>
    <w:rsid w:val="006A3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63A7"/>
  <w15:chartTrackingRefBased/>
  <w15:docId w15:val="{0748F8BE-0125-4E76-89FD-AEAA4AF0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A3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A3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A3C9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A3C9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A3C9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A3C9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A3C9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A3C9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A3C9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3C9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A3C9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A3C9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A3C9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A3C9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A3C9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A3C9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A3C9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A3C96"/>
    <w:rPr>
      <w:rFonts w:eastAsiaTheme="majorEastAsia" w:cstheme="majorBidi"/>
      <w:color w:val="272727" w:themeColor="text1" w:themeTint="D8"/>
    </w:rPr>
  </w:style>
  <w:style w:type="paragraph" w:styleId="Titolo">
    <w:name w:val="Title"/>
    <w:basedOn w:val="Normale"/>
    <w:next w:val="Normale"/>
    <w:link w:val="TitoloCarattere"/>
    <w:uiPriority w:val="10"/>
    <w:qFormat/>
    <w:rsid w:val="006A3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A3C9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A3C9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A3C9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A3C9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A3C96"/>
    <w:rPr>
      <w:i/>
      <w:iCs/>
      <w:color w:val="404040" w:themeColor="text1" w:themeTint="BF"/>
    </w:rPr>
  </w:style>
  <w:style w:type="paragraph" w:styleId="Paragrafoelenco">
    <w:name w:val="List Paragraph"/>
    <w:basedOn w:val="Normale"/>
    <w:uiPriority w:val="34"/>
    <w:qFormat/>
    <w:rsid w:val="006A3C96"/>
    <w:pPr>
      <w:ind w:left="720"/>
      <w:contextualSpacing/>
    </w:pPr>
  </w:style>
  <w:style w:type="character" w:styleId="Enfasiintensa">
    <w:name w:val="Intense Emphasis"/>
    <w:basedOn w:val="Carpredefinitoparagrafo"/>
    <w:uiPriority w:val="21"/>
    <w:qFormat/>
    <w:rsid w:val="006A3C96"/>
    <w:rPr>
      <w:i/>
      <w:iCs/>
      <w:color w:val="0F4761" w:themeColor="accent1" w:themeShade="BF"/>
    </w:rPr>
  </w:style>
  <w:style w:type="paragraph" w:styleId="Citazioneintensa">
    <w:name w:val="Intense Quote"/>
    <w:basedOn w:val="Normale"/>
    <w:next w:val="Normale"/>
    <w:link w:val="CitazioneintensaCarattere"/>
    <w:uiPriority w:val="30"/>
    <w:qFormat/>
    <w:rsid w:val="006A3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A3C96"/>
    <w:rPr>
      <w:i/>
      <w:iCs/>
      <w:color w:val="0F4761" w:themeColor="accent1" w:themeShade="BF"/>
    </w:rPr>
  </w:style>
  <w:style w:type="character" w:styleId="Riferimentointenso">
    <w:name w:val="Intense Reference"/>
    <w:basedOn w:val="Carpredefinitoparagrafo"/>
    <w:uiPriority w:val="32"/>
    <w:qFormat/>
    <w:rsid w:val="006A3C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3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luteinternazionale.info/2023/11/america-se-una-assicurazione-non-bast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2339</Words>
  <Characters>13335</Characters>
  <Application>Microsoft Office Word</Application>
  <DocSecurity>0</DocSecurity>
  <Lines>111</Lines>
  <Paragraphs>31</Paragraphs>
  <ScaleCrop>false</ScaleCrop>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Pia</dc:creator>
  <cp:keywords/>
  <dc:description/>
  <cp:lastModifiedBy>Mirko Pia</cp:lastModifiedBy>
  <cp:revision>1</cp:revision>
  <dcterms:created xsi:type="dcterms:W3CDTF">2024-04-16T09:23:00Z</dcterms:created>
  <dcterms:modified xsi:type="dcterms:W3CDTF">2024-04-16T09:24:00Z</dcterms:modified>
</cp:coreProperties>
</file>