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8C98D8" w14:textId="59BDA7A7" w:rsidR="00566E5D" w:rsidRDefault="00566E5D" w:rsidP="00566E5D">
      <w:pPr>
        <w:jc w:val="center"/>
        <w:rPr>
          <w:b/>
          <w:bCs/>
        </w:rPr>
      </w:pPr>
      <w:r w:rsidRPr="00566E5D">
        <w:rPr>
          <w:b/>
          <w:bCs/>
        </w:rPr>
        <w:t>UNA NUOVA CULTURA</w:t>
      </w:r>
      <w:r>
        <w:rPr>
          <w:b/>
          <w:bCs/>
        </w:rPr>
        <w:t xml:space="preserve"> </w:t>
      </w:r>
      <w:r w:rsidRPr="00566E5D">
        <w:rPr>
          <w:b/>
          <w:bCs/>
        </w:rPr>
        <w:t>PER LA SALUTE</w:t>
      </w:r>
      <w:r>
        <w:rPr>
          <w:b/>
          <w:bCs/>
        </w:rPr>
        <w:t xml:space="preserve"> </w:t>
      </w:r>
      <w:r w:rsidRPr="00566E5D">
        <w:rPr>
          <w:b/>
          <w:bCs/>
        </w:rPr>
        <w:t>DEGLI ANZIANI</w:t>
      </w:r>
    </w:p>
    <w:p w14:paraId="6990141B" w14:textId="1FF07A32" w:rsidR="00070C36" w:rsidRPr="00070C36" w:rsidRDefault="00070C36" w:rsidP="00070C36">
      <w:pPr>
        <w:jc w:val="center"/>
        <w:rPr>
          <w:b/>
          <w:bCs/>
        </w:rPr>
      </w:pPr>
      <w:r w:rsidRPr="00070C36">
        <w:rPr>
          <w:b/>
          <w:bCs/>
        </w:rPr>
        <w:t>La popolazione anziana in Italia</w:t>
      </w:r>
    </w:p>
    <w:p w14:paraId="57605182" w14:textId="77777777" w:rsidR="00070C36" w:rsidRPr="00070C36" w:rsidRDefault="00070C36" w:rsidP="00070C36">
      <w:pPr>
        <w:jc w:val="center"/>
      </w:pPr>
      <w:r w:rsidRPr="00070C36">
        <w:t>28 novembre 2023</w:t>
      </w:r>
    </w:p>
    <w:p w14:paraId="1286A7E6" w14:textId="2523D22D" w:rsidR="00CC0C97" w:rsidRDefault="00070C36" w:rsidP="00070C36">
      <w:pPr>
        <w:jc w:val="center"/>
      </w:pPr>
      <w:r w:rsidRPr="00070C36">
        <w:t>Giulio Fornero</w:t>
      </w:r>
    </w:p>
    <w:p w14:paraId="1A496E16" w14:textId="77777777" w:rsidR="00152648" w:rsidRDefault="00152648" w:rsidP="00070C36">
      <w:pPr>
        <w:jc w:val="center"/>
      </w:pPr>
    </w:p>
    <w:p w14:paraId="3CDC404D" w14:textId="7D100C5D" w:rsidR="00152648" w:rsidRDefault="00152648" w:rsidP="00152648">
      <w:pPr>
        <w:jc w:val="both"/>
        <w:rPr>
          <w:b/>
          <w:bCs/>
        </w:rPr>
      </w:pPr>
      <w:r w:rsidRPr="00152648">
        <w:rPr>
          <w:b/>
          <w:bCs/>
        </w:rPr>
        <w:t xml:space="preserve">Health </w:t>
      </w:r>
      <w:proofErr w:type="spellStart"/>
      <w:r w:rsidRPr="00152648">
        <w:rPr>
          <w:b/>
          <w:bCs/>
        </w:rPr>
        <w:t>at</w:t>
      </w:r>
      <w:proofErr w:type="spellEnd"/>
      <w:r w:rsidRPr="00152648">
        <w:rPr>
          <w:b/>
          <w:bCs/>
        </w:rPr>
        <w:t xml:space="preserve"> a </w:t>
      </w:r>
      <w:proofErr w:type="spellStart"/>
      <w:r w:rsidRPr="00152648">
        <w:rPr>
          <w:b/>
          <w:bCs/>
        </w:rPr>
        <w:t>Glance</w:t>
      </w:r>
      <w:proofErr w:type="spellEnd"/>
      <w:r w:rsidRPr="00152648">
        <w:rPr>
          <w:b/>
          <w:bCs/>
        </w:rPr>
        <w:t xml:space="preserve"> 2023</w:t>
      </w:r>
      <w:r w:rsidRPr="00152648">
        <w:rPr>
          <w:b/>
          <w:bCs/>
        </w:rPr>
        <w:t xml:space="preserve"> </w:t>
      </w:r>
      <w:r w:rsidRPr="00152648">
        <w:rPr>
          <w:b/>
          <w:bCs/>
        </w:rPr>
        <w:t>OECD INDICATORS</w:t>
      </w:r>
    </w:p>
    <w:p w14:paraId="38FB2BA6" w14:textId="59651FFA" w:rsidR="00152648" w:rsidRPr="00152648" w:rsidRDefault="00152648" w:rsidP="00152648">
      <w:pPr>
        <w:jc w:val="both"/>
        <w:rPr>
          <w:b/>
          <w:bCs/>
        </w:rPr>
      </w:pPr>
      <w:r w:rsidRPr="00152648">
        <w:rPr>
          <w:b/>
          <w:bCs/>
        </w:rPr>
        <w:t>Stato di salute Italia</w:t>
      </w:r>
    </w:p>
    <w:p w14:paraId="16C662D0" w14:textId="77777777" w:rsidR="00152648" w:rsidRPr="00152648" w:rsidRDefault="00152648" w:rsidP="00152648">
      <w:pPr>
        <w:jc w:val="both"/>
      </w:pPr>
      <w:r w:rsidRPr="00152648">
        <w:t>L’aspettativa di vita è di 82,7 anni: 2,4 anni al di sopra della media OCSE.</w:t>
      </w:r>
    </w:p>
    <w:p w14:paraId="53C9816E" w14:textId="77777777" w:rsidR="00152648" w:rsidRPr="00152648" w:rsidRDefault="00152648" w:rsidP="00152648">
      <w:pPr>
        <w:jc w:val="both"/>
      </w:pPr>
      <w:r w:rsidRPr="00152648">
        <w:t>La mortalità prevenibile è di 91 su 100.000 (inferiore alla media OCSE di 158); con una mortalità curabile pari a 55 su 100.000 (inferiore alla media OCSE di 79).</w:t>
      </w:r>
    </w:p>
    <w:p w14:paraId="73F3432C" w14:textId="747737D1" w:rsidR="00152648" w:rsidRDefault="00152648" w:rsidP="00152648">
      <w:pPr>
        <w:jc w:val="both"/>
      </w:pPr>
      <w:r w:rsidRPr="00152648">
        <w:t>8,1% delle persone valuta la propria salute come cattiva o pessima (media OCSE 7,9%).</w:t>
      </w:r>
    </w:p>
    <w:p w14:paraId="0B02F888" w14:textId="13127653" w:rsidR="00152648" w:rsidRPr="00152648" w:rsidRDefault="00152648" w:rsidP="00152648">
      <w:pPr>
        <w:jc w:val="both"/>
      </w:pPr>
      <w:r w:rsidRPr="00152648">
        <w:rPr>
          <w:b/>
          <w:bCs/>
        </w:rPr>
        <w:t>Trend demografici</w:t>
      </w:r>
    </w:p>
    <w:p w14:paraId="0C0542D7" w14:textId="77777777" w:rsidR="00152648" w:rsidRPr="00152648" w:rsidRDefault="00152648" w:rsidP="00152648">
      <w:pPr>
        <w:jc w:val="both"/>
      </w:pPr>
      <w:r w:rsidRPr="00152648">
        <w:t xml:space="preserve">Nei paesi membri dell’OCSE, si prevede che la popolazione di età pari o superiore a 65 anni continuerà a crescere nei prossimi decenni, passando dal 18% nel 2021 al 27% entro il 2050 </w:t>
      </w:r>
    </w:p>
    <w:p w14:paraId="40E1E5E2" w14:textId="77777777" w:rsidR="00152648" w:rsidRPr="00152648" w:rsidRDefault="00152648" w:rsidP="00152648">
      <w:pPr>
        <w:jc w:val="both"/>
      </w:pPr>
      <w:r w:rsidRPr="00152648">
        <w:t>In cinque paesi (Corea, Giappone, Italia, Grecia e Portogallo), la quota della popolazione di età pari o superiore a 65 anni supererà un terzo entro il 2050.</w:t>
      </w:r>
    </w:p>
    <w:p w14:paraId="6DA10B8C" w14:textId="353CD649" w:rsidR="00152648" w:rsidRDefault="00152648" w:rsidP="00152648">
      <w:pPr>
        <w:jc w:val="both"/>
      </w:pPr>
      <w:r w:rsidRPr="00152648">
        <w:t>In Israele, Messico, Australia e Colombia, la popolazione di età pari o superiore a 65 anni rappresenterà meno di un quinto della popolazione nel 2050, a causa della maggiore fertilità e dei tassi di migrazione.</w:t>
      </w:r>
    </w:p>
    <w:p w14:paraId="3CBB6852" w14:textId="77777777" w:rsidR="00127CED" w:rsidRPr="00127CED" w:rsidRDefault="00127CED" w:rsidP="00127CED">
      <w:pPr>
        <w:jc w:val="both"/>
      </w:pPr>
      <w:r w:rsidRPr="00127CED">
        <w:t>L’aumento è avvenuto in modo particolarmente rapido per il gruppo più anziano: le persone dagli 80 anni in su.</w:t>
      </w:r>
    </w:p>
    <w:p w14:paraId="7C9DEC39" w14:textId="77777777" w:rsidR="00127CED" w:rsidRPr="00127CED" w:rsidRDefault="00127CED" w:rsidP="00127CED">
      <w:pPr>
        <w:jc w:val="both"/>
      </w:pPr>
      <w:r w:rsidRPr="00127CED">
        <w:t xml:space="preserve">Tra il 2021 e il 2050, si prevede che la popolazione di età pari o superiore a 80 anni raddoppierà in media nei paesi membri dell’OCSE, dal 4,8% al 9,8%. </w:t>
      </w:r>
    </w:p>
    <w:p w14:paraId="6BA2D9CF" w14:textId="517C5020" w:rsidR="00127CED" w:rsidRDefault="00127CED" w:rsidP="00127CED">
      <w:pPr>
        <w:jc w:val="both"/>
      </w:pPr>
      <w:r w:rsidRPr="00127CED">
        <w:t>Almeno una persona su dieci potrà avere 80 anni e più in quasi la metà di questi paesi entro il 2050, mentre in cinque paesi (Corea, Giappone, Italia, Grecia e Portogallo), più di una persona su otto potrà avere 80 anni e più.</w:t>
      </w:r>
    </w:p>
    <w:p w14:paraId="40DB7C0B" w14:textId="63095F7E" w:rsidR="00895E6D" w:rsidRPr="00895E6D" w:rsidRDefault="00895E6D" w:rsidP="00895E6D">
      <w:pPr>
        <w:jc w:val="both"/>
      </w:pPr>
      <w:r w:rsidRPr="00895E6D">
        <w:rPr>
          <w:b/>
          <w:bCs/>
        </w:rPr>
        <w:t>Demenza</w:t>
      </w:r>
    </w:p>
    <w:p w14:paraId="3F327A14" w14:textId="77777777" w:rsidR="00895E6D" w:rsidRPr="00895E6D" w:rsidRDefault="00895E6D" w:rsidP="00895E6D">
      <w:pPr>
        <w:jc w:val="both"/>
      </w:pPr>
      <w:r w:rsidRPr="00895E6D">
        <w:t xml:space="preserve">Si stima che vi siano più di 21 milioni di persone nei paesi OCSE con demenza nel 2021. </w:t>
      </w:r>
    </w:p>
    <w:p w14:paraId="0E822111" w14:textId="77777777" w:rsidR="00895E6D" w:rsidRPr="00895E6D" w:rsidRDefault="00895E6D" w:rsidP="00895E6D">
      <w:pPr>
        <w:jc w:val="both"/>
      </w:pPr>
      <w:r w:rsidRPr="00895E6D">
        <w:t>Se le tendenze attuali continuano, questo numero potrebbe aumentare di quasi il 50% entro il 2040, raggiungendo quasi 32 milioni di persone in tutti i paesi OCSE.</w:t>
      </w:r>
    </w:p>
    <w:p w14:paraId="6796471F" w14:textId="313B4DD0" w:rsidR="00895E6D" w:rsidRDefault="00895E6D" w:rsidP="00895E6D">
      <w:pPr>
        <w:jc w:val="both"/>
      </w:pPr>
      <w:r w:rsidRPr="00895E6D">
        <w:t>L’età rimane il principale fattore di rischio demenza; man mano che i paesi invecchiano, aumenta il numero di persone che vivono con la demenza, soprattutto perché aumenta la proporzione della popolazione con più di 80 anni.</w:t>
      </w:r>
    </w:p>
    <w:p w14:paraId="59B4D4D2" w14:textId="77777777" w:rsidR="00140533" w:rsidRPr="00140533" w:rsidRDefault="00140533" w:rsidP="00140533">
      <w:pPr>
        <w:jc w:val="both"/>
      </w:pPr>
      <w:r w:rsidRPr="00140533">
        <w:t>I paesi OCSE con le popolazioni più anziane, tra cui Giappone, Italia e Germania, hanno anche la più alta prevalenza di demenza.</w:t>
      </w:r>
    </w:p>
    <w:p w14:paraId="0955662B" w14:textId="7A65648B" w:rsidR="00140533" w:rsidRPr="00140533" w:rsidRDefault="00140533" w:rsidP="00140533">
      <w:pPr>
        <w:jc w:val="both"/>
      </w:pPr>
      <w:r w:rsidRPr="00140533">
        <w:t>Nei paesi OCSE, in media, si stima che</w:t>
      </w:r>
      <w:r>
        <w:t>,</w:t>
      </w:r>
      <w:r w:rsidRPr="00140533">
        <w:t xml:space="preserve"> nel 2021</w:t>
      </w:r>
      <w:r>
        <w:t>,</w:t>
      </w:r>
      <w:r w:rsidRPr="00140533">
        <w:t xml:space="preserve"> 15 persone per 1.000 abitanti siano affette da demenza</w:t>
      </w:r>
    </w:p>
    <w:p w14:paraId="5E019426" w14:textId="2C3D25FC" w:rsidR="00140533" w:rsidRDefault="00140533" w:rsidP="00140533">
      <w:pPr>
        <w:jc w:val="both"/>
      </w:pPr>
      <w:r w:rsidRPr="00140533">
        <w:lastRenderedPageBreak/>
        <w:t>Senza ulteriore prevenzione e progressi in campo medico entro il 2040, 12 Paesi membri dell’OCSE (Repubblica Ceca, Estonia, Finlandia, Ungheria, Italia, Giappone, Lettonia, Lituania, Polonia, Portogallo, Repubblica Slovacca e Slovenia) avranno una prevalenza di demenza di almeno 25 persone ogni 1 000 abitanti</w:t>
      </w:r>
    </w:p>
    <w:p w14:paraId="6037B0B8" w14:textId="77777777" w:rsidR="009D6F7F" w:rsidRDefault="009D6F7F" w:rsidP="00140533">
      <w:pPr>
        <w:jc w:val="both"/>
      </w:pPr>
    </w:p>
    <w:p w14:paraId="74927432" w14:textId="2DED94F0" w:rsidR="009D6F7F" w:rsidRDefault="009D6F7F" w:rsidP="009D6F7F">
      <w:pPr>
        <w:jc w:val="both"/>
        <w:rPr>
          <w:b/>
          <w:bCs/>
        </w:rPr>
      </w:pPr>
      <w:r w:rsidRPr="009D6F7F">
        <w:rPr>
          <w:b/>
          <w:bCs/>
        </w:rPr>
        <w:t>RAPPORTO ANNUALE 2023</w:t>
      </w:r>
      <w:r w:rsidRPr="009D6F7F">
        <w:rPr>
          <w:b/>
          <w:bCs/>
        </w:rPr>
        <w:t xml:space="preserve"> </w:t>
      </w:r>
      <w:r w:rsidRPr="009D6F7F">
        <w:rPr>
          <w:b/>
          <w:bCs/>
        </w:rPr>
        <w:t>La situazione del Paese</w:t>
      </w:r>
      <w:r w:rsidRPr="009D6F7F">
        <w:rPr>
          <w:b/>
          <w:bCs/>
        </w:rPr>
        <w:t xml:space="preserve"> </w:t>
      </w:r>
      <w:r w:rsidRPr="009D6F7F">
        <w:rPr>
          <w:b/>
          <w:bCs/>
        </w:rPr>
        <w:t>ISTAT</w:t>
      </w:r>
    </w:p>
    <w:p w14:paraId="323801CD" w14:textId="29D98D1F" w:rsidR="009D6F7F" w:rsidRPr="009D6F7F" w:rsidRDefault="009D6F7F" w:rsidP="009D6F7F">
      <w:pPr>
        <w:jc w:val="both"/>
        <w:rPr>
          <w:b/>
          <w:bCs/>
        </w:rPr>
      </w:pPr>
      <w:r w:rsidRPr="009D6F7F">
        <w:rPr>
          <w:b/>
          <w:bCs/>
        </w:rPr>
        <w:t>Il quadro demografico</w:t>
      </w:r>
    </w:p>
    <w:p w14:paraId="29A9E473" w14:textId="77777777" w:rsidR="009D6F7F" w:rsidRPr="009D6F7F" w:rsidRDefault="009D6F7F" w:rsidP="009D6F7F">
      <w:pPr>
        <w:jc w:val="both"/>
      </w:pPr>
      <w:r w:rsidRPr="009D6F7F">
        <w:t>L’effetto combinato di un’alta speranza di vita e il perdurare di un regime di bassa fecondità contribuiscono al progressivo aumento degli anziani, da un lato, e alla contrazione dei giovani, dall’altro, determinando uno squilibrio intergenerazionale particolarmente critico in alcune aree</w:t>
      </w:r>
    </w:p>
    <w:p w14:paraId="18169356" w14:textId="75ADD47C" w:rsidR="009D6F7F" w:rsidRDefault="009D6F7F" w:rsidP="009D6F7F">
      <w:pPr>
        <w:jc w:val="both"/>
      </w:pPr>
      <w:r w:rsidRPr="009D6F7F">
        <w:t>La ripresa dei movimenti migratori internazionali, in parte accelerata dagli ingressi di cittadini provenienti dall’Ucraina, ha parzialmente contribuito al rallentamento del deficit di popolazione, ma incidendo in modo differenziato sulla struttura demografica per classi di età e genere</w:t>
      </w:r>
    </w:p>
    <w:p w14:paraId="60DDBAB6" w14:textId="1756EB58" w:rsidR="00F82324" w:rsidRPr="00F82324" w:rsidRDefault="00F82324" w:rsidP="00F82324">
      <w:pPr>
        <w:jc w:val="both"/>
      </w:pPr>
      <w:r w:rsidRPr="00F82324">
        <w:rPr>
          <w:b/>
          <w:bCs/>
        </w:rPr>
        <w:t>L’inverno demografico viene da lontano</w:t>
      </w:r>
    </w:p>
    <w:p w14:paraId="3550C8E3" w14:textId="77777777" w:rsidR="00F82324" w:rsidRPr="00F82324" w:rsidRDefault="00F82324" w:rsidP="00F82324">
      <w:pPr>
        <w:jc w:val="both"/>
      </w:pPr>
      <w:r w:rsidRPr="00F82324">
        <w:t>Di anno in anno la popolazione vede ridurre la sua capacità di rinnovarsi per effetto dell’apporto quantitativo dato dall’ammontare delle nuove generazioni. Il fenomeno, così evidente oggi, viene tuttavia da lontano ed è dovuto solo in parte alla scelta di avere meno figli rispetto al passato, o di non averne, da parte dei potenziali genitori.</w:t>
      </w:r>
    </w:p>
    <w:p w14:paraId="49682B06" w14:textId="77376E19" w:rsidR="00F82324" w:rsidRDefault="00F82324" w:rsidP="00F82324">
      <w:pPr>
        <w:jc w:val="both"/>
      </w:pPr>
      <w:r w:rsidRPr="00F82324">
        <w:t>Tra le cause del calo delle nascite pesano, infatti, sia la riduzione della popolazione femminile nelle età convenzionalmente considerate riproduttive (dai 15 ai 49 anni), sia il progressivo invecchiamento che le caratterizza</w:t>
      </w:r>
    </w:p>
    <w:p w14:paraId="7180D336" w14:textId="19FCE154" w:rsidR="00CB3DE3" w:rsidRPr="00CB3DE3" w:rsidRDefault="00CB3DE3" w:rsidP="00CB3DE3">
      <w:pPr>
        <w:jc w:val="both"/>
      </w:pPr>
      <w:r w:rsidRPr="00CB3DE3">
        <w:rPr>
          <w:b/>
          <w:bCs/>
        </w:rPr>
        <w:t>La fecondità è sempre più bassa e tardiva</w:t>
      </w:r>
    </w:p>
    <w:p w14:paraId="7633B4B4" w14:textId="77777777" w:rsidR="00CB3DE3" w:rsidRPr="00CB3DE3" w:rsidRDefault="00CB3DE3" w:rsidP="00CB3DE3">
      <w:pPr>
        <w:jc w:val="both"/>
      </w:pPr>
      <w:r w:rsidRPr="00CB3DE3">
        <w:t xml:space="preserve">Nel panorama europeo, l’Italia è uno dei paesi a più bassa e tardiva fecondità (1,24 figli in media per donna nel 2022). </w:t>
      </w:r>
    </w:p>
    <w:p w14:paraId="38A8416C" w14:textId="77777777" w:rsidR="00CB3DE3" w:rsidRPr="00CB3DE3" w:rsidRDefault="00CB3DE3" w:rsidP="00CB3DE3">
      <w:pPr>
        <w:jc w:val="both"/>
      </w:pPr>
      <w:r w:rsidRPr="00CB3DE3">
        <w:t>In Francia, il paese con la più alta fecondità in Europa, il numero medio di figli per donna è pari a 1,80 nel 2022; In Germania, nel 2021, il tasso di fecondità totale è di 1,58</w:t>
      </w:r>
    </w:p>
    <w:p w14:paraId="74916A4F" w14:textId="29E29298" w:rsidR="00CB3DE3" w:rsidRDefault="00CB3DE3" w:rsidP="00CB3DE3">
      <w:pPr>
        <w:jc w:val="both"/>
      </w:pPr>
      <w:r w:rsidRPr="00CB3DE3">
        <w:t>Anche Francia e Germania, così come l’Italia (1,19 figli per donna nel 1995), hanno raggiunto il loro minimo storico attorno alla metà degli anni Novanta: la Francia nel 1993, con un tasso pari a 1,66 nel 1994, la Germania con un tasso dell’1,25.</w:t>
      </w:r>
    </w:p>
    <w:p w14:paraId="4B522B84" w14:textId="6E035FF3" w:rsidR="00BA1377" w:rsidRPr="00BA1377" w:rsidRDefault="00BA1377" w:rsidP="00BA1377">
      <w:pPr>
        <w:jc w:val="both"/>
      </w:pPr>
      <w:r w:rsidRPr="00BA1377">
        <w:rPr>
          <w:b/>
          <w:bCs/>
        </w:rPr>
        <w:t>L’evoluzione recente della sopravvivenza</w:t>
      </w:r>
    </w:p>
    <w:p w14:paraId="2A5C44B1" w14:textId="77777777" w:rsidR="00BA1377" w:rsidRPr="00BA1377" w:rsidRDefault="00BA1377" w:rsidP="00BA1377">
      <w:pPr>
        <w:jc w:val="both"/>
      </w:pPr>
      <w:r w:rsidRPr="00BA1377">
        <w:t xml:space="preserve">Nel 2022 la stima della speranza di vita alla nascita è di 80,5 anni per gli uomini e 84,8 anni per le donne; solo per i primi si nota, rispetto al 2021, un recupero quantificabile in circa 2 mesi e mezzo di vita in più. Per le donne, invece, il valore della speranza di vita alla nascita rimane invariato rispetto all’anno precedente. </w:t>
      </w:r>
    </w:p>
    <w:p w14:paraId="30C3F6B2" w14:textId="77777777" w:rsidR="00BA1377" w:rsidRPr="00BA1377" w:rsidRDefault="00BA1377" w:rsidP="00BA1377">
      <w:pPr>
        <w:jc w:val="both"/>
      </w:pPr>
      <w:r w:rsidRPr="00BA1377">
        <w:t xml:space="preserve">I livelli di sopravvivenza del 2022 risultano ancora al di sotto di quelli del periodo </w:t>
      </w:r>
      <w:proofErr w:type="spellStart"/>
      <w:r w:rsidRPr="00BA1377">
        <w:t>pre</w:t>
      </w:r>
      <w:proofErr w:type="spellEnd"/>
      <w:r w:rsidRPr="00BA1377">
        <w:t>-pandemico, registrando valori di oltre 7 mesi inferiori rispetto al 2019, sia tra gli uomini, sia tra le donne.</w:t>
      </w:r>
    </w:p>
    <w:p w14:paraId="68DBCD93" w14:textId="77777777" w:rsidR="00BA1377" w:rsidRPr="00BA1377" w:rsidRDefault="00BA1377" w:rsidP="00BA1377">
      <w:pPr>
        <w:jc w:val="both"/>
      </w:pPr>
      <w:r w:rsidRPr="00BA1377">
        <w:t>La speranza di vita all’età di 65 anni è stimata nel 2022 in 18,9 anni per gli uomini e 21,9 anni per le donne</w:t>
      </w:r>
    </w:p>
    <w:p w14:paraId="0546062A" w14:textId="536A621C" w:rsidR="00BA1377" w:rsidRDefault="00BA1377" w:rsidP="00BA1377">
      <w:pPr>
        <w:jc w:val="both"/>
      </w:pPr>
      <w:r w:rsidRPr="00BA1377">
        <w:t>Rispetto al 2019 persiste un gap negativo significativo, quantificabile in circa sei mesi per gli uomini e oltre otto mesi per le donne, a ulteriore conferma che la pandemia ha avuto effetti negativi soprattutto tra la popolazione più anziana e, in particolare, femminile.</w:t>
      </w:r>
    </w:p>
    <w:p w14:paraId="0D1E2270" w14:textId="77777777" w:rsidR="00D06E86" w:rsidRDefault="00D06E86" w:rsidP="00D06E86">
      <w:pPr>
        <w:jc w:val="both"/>
      </w:pPr>
    </w:p>
    <w:p w14:paraId="3FF6976A" w14:textId="581BD0B1" w:rsidR="00D06E86" w:rsidRPr="00D06E86" w:rsidRDefault="00D06E86" w:rsidP="00D06E86">
      <w:pPr>
        <w:jc w:val="both"/>
      </w:pPr>
      <w:r w:rsidRPr="00D06E86">
        <w:rPr>
          <w:b/>
          <w:bCs/>
        </w:rPr>
        <w:lastRenderedPageBreak/>
        <w:t>La dinamica migratoria interna e internazionale</w:t>
      </w:r>
    </w:p>
    <w:p w14:paraId="721B82E4" w14:textId="77777777" w:rsidR="00D06E86" w:rsidRPr="00D06E86" w:rsidRDefault="00D06E86" w:rsidP="00D06E86">
      <w:pPr>
        <w:jc w:val="both"/>
      </w:pPr>
      <w:r w:rsidRPr="00D06E86">
        <w:t>Ad attenuare la perdita complessiva di popolazione dovuta alla dinamica naturale contribuisce la ripresa dei movimenti migratori internazionali (in parte dovuta agli effetti della crisi in Ucraina).</w:t>
      </w:r>
    </w:p>
    <w:p w14:paraId="24794650" w14:textId="77777777" w:rsidR="00D06E86" w:rsidRPr="00D06E86" w:rsidRDefault="00D06E86" w:rsidP="00D06E86">
      <w:pPr>
        <w:jc w:val="both"/>
      </w:pPr>
      <w:r w:rsidRPr="00D06E86">
        <w:t>I movimenti tra comuni hanno coinvolto 1 milione e 484 mila persone, +4,3 per cento rispetto al 2021, ritornando ai livelli del 2019.</w:t>
      </w:r>
    </w:p>
    <w:p w14:paraId="5B8B2AAD" w14:textId="77777777" w:rsidR="00D06E86" w:rsidRPr="00D06E86" w:rsidRDefault="00D06E86" w:rsidP="00D06E86">
      <w:pPr>
        <w:jc w:val="both"/>
      </w:pPr>
      <w:r w:rsidRPr="00D06E86">
        <w:t xml:space="preserve">Nel 2022 le iscrizioni anagrafiche dall’estero ammontano a 361 mila, con un incremento del 13,3 per cento rispetto al 2021 che riporta le immigrazioni in linea con la tendenza all’aumento osservata nel periodo </w:t>
      </w:r>
      <w:proofErr w:type="spellStart"/>
      <w:r w:rsidRPr="00D06E86">
        <w:t>pre</w:t>
      </w:r>
      <w:proofErr w:type="spellEnd"/>
      <w:r w:rsidRPr="00D06E86">
        <w:t>-COVID</w:t>
      </w:r>
    </w:p>
    <w:p w14:paraId="4F71C6DC" w14:textId="04F110DC" w:rsidR="00D06E86" w:rsidRDefault="00D06E86" w:rsidP="00D06E86">
      <w:pPr>
        <w:jc w:val="both"/>
      </w:pPr>
      <w:r w:rsidRPr="00D06E86">
        <w:t>Se negli anni 2012-2019 l’andamento delle cancellazioni anagrafiche per l’estero è stato tendenzialmente crescente, con un picco nel 2019 (180 mila), il rallentamento dei flussi in uscita, osservato a partire dall’anno della pandemia, prosegue nel 2022 pur in assenza di vincoli agli spostamenti. Le cancellazioni per l’estero scendono a 132 mila, -16,7 per cento rispetto all’anno precedente e -26,5 per cento sul 2019</w:t>
      </w:r>
    </w:p>
    <w:p w14:paraId="0DC00651" w14:textId="77777777" w:rsidR="009B75CA" w:rsidRPr="009B75CA" w:rsidRDefault="009B75CA" w:rsidP="009B75CA">
      <w:pPr>
        <w:jc w:val="both"/>
        <w:rPr>
          <w:b/>
          <w:bCs/>
        </w:rPr>
      </w:pPr>
      <w:r w:rsidRPr="009B75CA">
        <w:rPr>
          <w:b/>
          <w:bCs/>
        </w:rPr>
        <w:t>Prosegue l’invecchiamento della popolazione</w:t>
      </w:r>
    </w:p>
    <w:p w14:paraId="2F484B47" w14:textId="77777777" w:rsidR="009B75CA" w:rsidRPr="009B75CA" w:rsidRDefault="009B75CA" w:rsidP="009B75CA">
      <w:pPr>
        <w:jc w:val="both"/>
      </w:pPr>
      <w:r w:rsidRPr="009B75CA">
        <w:t>Nonostante l’elevato numero di decessi di questi ultimi tre anni, oltre 2 milioni e 150 mila, di cui l’89,7 per cento riguardante persone con più di 65 anni, il processo di invecchiamento della popolazione è proseguito, portando l’età media della popolazione da 45,7 anni a 46,4 anni tra l’inizio del 2020 e l’inizio del 2023.</w:t>
      </w:r>
    </w:p>
    <w:p w14:paraId="037CB4B2" w14:textId="77777777" w:rsidR="009B75CA" w:rsidRPr="009B75CA" w:rsidRDefault="009B75CA" w:rsidP="009B75CA">
      <w:pPr>
        <w:jc w:val="both"/>
      </w:pPr>
      <w:r w:rsidRPr="009B75CA">
        <w:t>La popolazione ultrasessantacinquenne ammonta a 14 milioni 177 mila individui al 1° gennaio 2023, e costituisce il 24,1 per cento della popolazione totale. Tra le persone ultraottantenni si rileva comunque un incremento, che le porta a 4 milioni 529 mila e a rappresentare il 7,7 per cento della popolazione totale.</w:t>
      </w:r>
    </w:p>
    <w:p w14:paraId="12D76578" w14:textId="622CB23B" w:rsidR="009B75CA" w:rsidRDefault="009B75CA" w:rsidP="009B75CA">
      <w:pPr>
        <w:jc w:val="both"/>
      </w:pPr>
      <w:r w:rsidRPr="009B75CA">
        <w:t>Risultano al contrario in diminuzione tanto gli individui in età attiva, quanto i più giovani: i 15-64enni scendono a 37 milioni 339 mila (63,4 per cento), mentre i ragazzi fino a 14 anni sono 7 milioni 334 mila (12,5 per cento).</w:t>
      </w:r>
    </w:p>
    <w:p w14:paraId="0A23BF03" w14:textId="77777777" w:rsidR="003B263B" w:rsidRPr="003B263B" w:rsidRDefault="003B263B" w:rsidP="003B263B">
      <w:pPr>
        <w:jc w:val="both"/>
      </w:pPr>
      <w:r w:rsidRPr="003B263B">
        <w:t>Il Centro e il Nord presentano una proporzione di ultrasessantacinquenni leggermente più alta di quella nazionale, rispettivamente pari al 24,7 per cento e al 24,6 per cento. Nel Mezzogiorno tale proporzione è invece del 23,0 per cento.</w:t>
      </w:r>
    </w:p>
    <w:p w14:paraId="18639BDA" w14:textId="77777777" w:rsidR="003B263B" w:rsidRPr="003B263B" w:rsidRDefault="003B263B" w:rsidP="003B263B">
      <w:pPr>
        <w:jc w:val="both"/>
      </w:pPr>
      <w:r w:rsidRPr="003B263B">
        <w:t>Gli ultraottantenni costituiscono l’8,2 per cento della popolazione totale nel Nord e nel Centro e il 6,8 per cento nel Mezzogiorno).</w:t>
      </w:r>
    </w:p>
    <w:p w14:paraId="376D652F" w14:textId="405EB1CB" w:rsidR="003B263B" w:rsidRDefault="003B263B" w:rsidP="003B263B">
      <w:pPr>
        <w:jc w:val="both"/>
      </w:pPr>
      <w:r w:rsidRPr="003B263B">
        <w:t>Il numero stimato di ultracentenari raggiunge il suo più alto livello storico, sfiorando, al 1° gennaio 2023, la soglia delle 22 mila unità, oltre 2 mila in più rispetto all’anno precedente. Da inizio millennio, grazie a un incremento di oltre 17 mila, il numero di ultracentenari è triplicato. Gli ultracentenari sono in grande maggioranza donne, con percentuali superiori all’80 per cento dal 2000 a oggi</w:t>
      </w:r>
    </w:p>
    <w:p w14:paraId="3743F6D0" w14:textId="77777777" w:rsidR="00781855" w:rsidRPr="00781855" w:rsidRDefault="00781855" w:rsidP="00781855">
      <w:pPr>
        <w:jc w:val="both"/>
      </w:pPr>
      <w:r w:rsidRPr="00781855">
        <w:t>Gli scenari demografici prevedono un consistente aumento dei cosiddetti “grandi anziani”. Nel 2041 la popolazione ultraottantenne aumenterà del 35,2 per cento rispetto al 2021, superando i 6 milioni; quella degli ultranovantenni addirittura arriverà a 1,4 milioni (+69,4 per cento sul 2021).</w:t>
      </w:r>
    </w:p>
    <w:p w14:paraId="1C8EA9F9" w14:textId="4560638D" w:rsidR="00781855" w:rsidRDefault="00781855" w:rsidP="00781855">
      <w:pPr>
        <w:jc w:val="both"/>
      </w:pPr>
      <w:r w:rsidRPr="00781855">
        <w:t>Si tratta di scenari che pongono molti interrogativi sulla capacità dell’Italia di far fronte a una situazione demografica “sconosciuta”, nel senso che nessun grande paese l’ha mai sperimentata fino a ora in queste proporzioni.</w:t>
      </w:r>
    </w:p>
    <w:p w14:paraId="07A0AC75" w14:textId="77777777" w:rsidR="003814AC" w:rsidRPr="003814AC" w:rsidRDefault="003814AC" w:rsidP="003814AC">
      <w:pPr>
        <w:jc w:val="both"/>
      </w:pPr>
      <w:r w:rsidRPr="003814AC">
        <w:t>Se questa è la dimensione quantitativa del fenomeno, sul piano qualitativo si può agire per migliorare il benessere della popolazione anziana in modo che l’ampliamento dell’orizzonte temporale della vita vada di pari passo il più a lungo possibile con anni vissuti in buona salute, liberi da condizioni che limitano l’autonomia e la capacità di avere una vita di relazione soddisfacente.</w:t>
      </w:r>
    </w:p>
    <w:p w14:paraId="2C960B73" w14:textId="77777777" w:rsidR="007733F6" w:rsidRDefault="007733F6" w:rsidP="007733F6">
      <w:pPr>
        <w:jc w:val="both"/>
      </w:pPr>
      <w:r w:rsidRPr="007733F6">
        <w:lastRenderedPageBreak/>
        <w:t>In peggioramento l’abitudine al fumo per i tardo-adulti (65-74 anni) e la condizione di obesità per gli ultra 74enni.</w:t>
      </w:r>
    </w:p>
    <w:p w14:paraId="5976EC27" w14:textId="77777777" w:rsidR="00296EB6" w:rsidRDefault="00296EB6" w:rsidP="00296EB6">
      <w:pPr>
        <w:jc w:val="both"/>
      </w:pPr>
      <w:r>
        <w:t>Per la partecipazione sociale e culturale, gli avanzamenti registrati fino al 2019 sono stati bruscamente interrotti dalla crisi sanitaria. Oltre il 90 per cento delle persone con 75 anni e più non ha fruito di spettacoli fuori casa nel 2021. Il recupero osservato nel 2022 non è bastato a riportare il vantaggio acquisito fino al 2019.</w:t>
      </w:r>
    </w:p>
    <w:p w14:paraId="424E7281" w14:textId="77777777" w:rsidR="00296EB6" w:rsidRDefault="00296EB6" w:rsidP="00296EB6">
      <w:pPr>
        <w:jc w:val="both"/>
      </w:pPr>
      <w:r>
        <w:t>La partecipazione civica e politica, invece, sembra non aver subito particolari effetti a causa della pandemia.</w:t>
      </w:r>
    </w:p>
    <w:p w14:paraId="568B8CA3" w14:textId="77777777" w:rsidR="00296EB6" w:rsidRDefault="00296EB6" w:rsidP="00296EB6">
      <w:pPr>
        <w:jc w:val="both"/>
      </w:pPr>
      <w:r>
        <w:t>L’area del benessere soggettivo mostra un peggioramento rispetto al passato, che si è acuito durante la pandemia. Sono minori, infatti, le quote di ultra sessantacinquenni soddisfatti del tempo libero, delle relazioni familiari e con gli amici, ma si rileva un aumento delle persone soddisfatte per il proprio stato di salute</w:t>
      </w:r>
    </w:p>
    <w:p w14:paraId="429F37E2" w14:textId="77777777" w:rsidR="00296EB6" w:rsidRDefault="00296EB6" w:rsidP="00296EB6">
      <w:pPr>
        <w:jc w:val="both"/>
      </w:pPr>
      <w:r>
        <w:t xml:space="preserve">Infine, c’è da osservare come negli ultimi venti anni la quota di utenti regolari di Internet tra le persone di 65 anni e più sia fortemente aumentata, attestandosi al 36,4 per cento, una quota venti volte superiore rispetto al passato. </w:t>
      </w:r>
    </w:p>
    <w:p w14:paraId="5E8B627D" w14:textId="712FBDCD" w:rsidR="00296EB6" w:rsidRPr="007733F6" w:rsidRDefault="00296EB6" w:rsidP="00296EB6">
      <w:pPr>
        <w:jc w:val="both"/>
      </w:pPr>
      <w:r>
        <w:t>Ciò ha comportato una considerevole riduzione dei divari digitali per questa fascia di popolazione, una potenziale riduzione dell’isolamento e della solitudine, e una maggiore esposizione a stimoli capaci di contrastare il declino cognitivo</w:t>
      </w:r>
    </w:p>
    <w:p w14:paraId="1341F59A" w14:textId="77777777" w:rsidR="007733F6" w:rsidRPr="007733F6" w:rsidRDefault="007733F6" w:rsidP="007733F6">
      <w:pPr>
        <w:jc w:val="both"/>
      </w:pPr>
      <w:r w:rsidRPr="007733F6">
        <w:t xml:space="preserve">A parità di età, nel confronto tra gli “anziani di oggi” (2022) e gli “anziani di ieri” (2002), nella graduatoria dei miglioramenti osservati sia per la popolazione di 65-74 anni, sia per quella dai 75 anni, troviamo ai primi posti la pratica sportiva, le attività di volontariato e la fruizione delle biblioteche, a testimoniare un progressivo diffondersi di comportamenti attivi e proattivi. </w:t>
      </w:r>
    </w:p>
    <w:p w14:paraId="77D5D8F0" w14:textId="6477C41C" w:rsidR="007733F6" w:rsidRDefault="007733F6" w:rsidP="007733F6">
      <w:pPr>
        <w:jc w:val="both"/>
      </w:pPr>
      <w:r w:rsidRPr="007733F6">
        <w:t xml:space="preserve">A questo si accompagna un generale miglioramento negli stili di vita e nelle condizioni di salute, come la riduzione dei consumi di alcol a rischio, un lieve aumento nel consumo quotidiano di frutta e/o verdura, il decremento della condizione di </w:t>
      </w:r>
      <w:proofErr w:type="spellStart"/>
      <w:r w:rsidRPr="007733F6">
        <w:t>multicronicità</w:t>
      </w:r>
      <w:proofErr w:type="spellEnd"/>
      <w:r w:rsidRPr="007733F6">
        <w:t xml:space="preserve"> (tre o più malattie croniche).</w:t>
      </w:r>
    </w:p>
    <w:p w14:paraId="76C74F93" w14:textId="79E9008F" w:rsidR="00296EB6" w:rsidRDefault="00296EB6" w:rsidP="007733F6">
      <w:pPr>
        <w:jc w:val="both"/>
      </w:pPr>
      <w:r w:rsidRPr="00296EB6">
        <w:t>Le evidenze al riguardo sono incoraggianti; il limite di età che definisce l’ingresso nella terza e quarta età si va fluidificando. I concetti di invecchiamento attivo e silver age si identificano con una fase della vita sempre più ampia, in cui le persone, pur avendo superato di molto la soglia dei 65 anni di età convenzionalmente adottata per il calcolo degli indicatori demografici riferiti all’invecchiamento, vivono in buona salute e continuano a partecipare pienamente ai vari ambiti della vita sociale, economica, politica e culturale.</w:t>
      </w:r>
    </w:p>
    <w:sectPr w:rsidR="00296EB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A4B"/>
    <w:rsid w:val="00070C36"/>
    <w:rsid w:val="00127CED"/>
    <w:rsid w:val="00140533"/>
    <w:rsid w:val="00152648"/>
    <w:rsid w:val="00296EB6"/>
    <w:rsid w:val="00370CD8"/>
    <w:rsid w:val="003814AC"/>
    <w:rsid w:val="003B263B"/>
    <w:rsid w:val="00566E5D"/>
    <w:rsid w:val="007733F6"/>
    <w:rsid w:val="00781855"/>
    <w:rsid w:val="00895E6D"/>
    <w:rsid w:val="009B75CA"/>
    <w:rsid w:val="009D6F7F"/>
    <w:rsid w:val="00BA1377"/>
    <w:rsid w:val="00CB3DE3"/>
    <w:rsid w:val="00CC0C97"/>
    <w:rsid w:val="00D06E86"/>
    <w:rsid w:val="00E30A4B"/>
    <w:rsid w:val="00F82324"/>
    <w:rsid w:val="00FC5E7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991612"/>
  <w15:chartTrackingRefBased/>
  <w15:docId w15:val="{BB238C84-1E69-41DD-AD6A-1E5CC3146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4</Pages>
  <Words>1737</Words>
  <Characters>9907</Characters>
  <Application>Microsoft Office Word</Application>
  <DocSecurity>0</DocSecurity>
  <Lines>82</Lines>
  <Paragraphs>23</Paragraphs>
  <ScaleCrop>false</ScaleCrop>
  <Company/>
  <LinksUpToDate>false</LinksUpToDate>
  <CharactersWithSpaces>11621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23</cp:revision>
  <dcterms:created xsi:type="dcterms:W3CDTF">2023-12-20T08:57:00Z</dcterms:created>
  <dcterms:modified xsi:type="dcterms:W3CDTF">2023-12-20T09:20:00Z</dcterms:modified>
</cp:coreProperties>
</file>